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8F1"/>
  <w:body>
    <w:p>
      <w:pPr>
        <w:spacing w:before="0" w:after="0"/>
      </w:pPr>
      <w:r>
        <w:drawing>
          <wp:inline xmlns:a="http://schemas.openxmlformats.org/drawingml/2006/main" xmlns:pic="http://schemas.openxmlformats.org/drawingml/2006/picture">
            <wp:extent cx="7772400" cy="10058400"/>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7772400" cy="10058400"/>
                    </a:xfrm>
                    <a:prstGeom prst="rect"/>
                  </pic:spPr>
                </pic:pic>
              </a:graphicData>
            </a:graphic>
          </wp:inline>
        </w:drawing>
      </w:r>
    </w:p>
    <w:p>
      <w:pPr>
        <w:sectPr>
          <w:headerReference w:type="default" r:id="rId9"/>
          <w:footerReference w:type="default" r:id="rId10"/>
          <w:pgSz w:w="12240" w:h="15840"/>
          <w:pgMar w:top="0" w:right="0" w:bottom="0" w:left="0" w:header="720" w:footer="720" w:gutter="0"/>
          <w:cols w:space="720"/>
          <w:docGrid w:linePitch="360"/>
        </w:sectP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CONTENTS</w:t>
      </w:r>
    </w:p>
    <w:p>
      <w:pPr>
        <w:keepNext/>
        <w:spacing w:before="240" w:after="200"/>
      </w:pPr>
      <w:r>
        <w:rPr>
          <w:rFonts w:ascii="Cormorant Garamond" w:hAnsi="Cormorant Garamond"/>
          <w:b w:val="0"/>
          <w:i w:val="0"/>
          <w:color w:val="1A1814"/>
          <w:sz w:val="44"/>
        </w:rPr>
        <w:t>Table of Contents</w:t>
      </w:r>
    </w:p>
    <w:p>
      <w:pPr>
        <w:keepNext w:val="0"/>
        <w:spacing w:before="0" w:after="200"/>
      </w:pPr>
      <w:r>
        <w:rPr>
          <w:rFonts w:ascii="JetBrains Mono" w:hAnsi="JetBrains Mono"/>
          <w:b w:val="0"/>
          <w:i/>
          <w:color w:val="6B6862"/>
          <w:sz w:val="18"/>
        </w:rPr>
        <w:t>Page numbers auto-populate when opened in Word.  Otherwise: View &gt; Navigation Pane to jump between sections.</w:t>
      </w:r>
    </w:p>
    <w:p>
      <w:pPr>
        <w:keepNext w:val="0"/>
        <w:spacing w:before="160" w:after="20"/>
      </w:pPr>
      <w:r>
        <w:rPr>
          <w:rFonts w:ascii="Cormorant Garamond" w:hAnsi="Cormorant Garamond"/>
          <w:b w:val="0"/>
          <w:i w:val="0"/>
          <w:color w:val="1A1814"/>
          <w:sz w:val="26"/>
        </w:rPr>
        <w:t>Oral Argument Bench Card</w:t>
      </w:r>
    </w:p>
    <w:p>
      <w:pPr>
        <w:keepNext w:val="0"/>
        <w:spacing w:before="0" w:after="40"/>
        <w:ind w:left="288"/>
      </w:pPr>
      <w:r>
        <w:rPr>
          <w:rFonts w:ascii="JetBrains Mono" w:hAnsi="JetBrains Mono"/>
          <w:b w:val="0"/>
          <w:i w:val="0"/>
          <w:color w:val="6B6862"/>
          <w:sz w:val="18"/>
        </w:rPr>
        <w:t>Case at a Glance  ·  Key Timeline  ·  Record Vulnerabilities  ·  Your Three Arguments</w:t>
      </w:r>
    </w:p>
    <w:p>
      <w:pPr>
        <w:keepNext w:val="0"/>
        <w:spacing w:before="160" w:after="20"/>
      </w:pPr>
      <w:r>
        <w:rPr>
          <w:rFonts w:ascii="Cormorant Garamond" w:hAnsi="Cormorant Garamond"/>
          <w:b w:val="0"/>
          <w:i w:val="0"/>
          <w:color w:val="1A1814"/>
          <w:sz w:val="26"/>
        </w:rPr>
        <w:t>Panel: Judge-by-Judge</w:t>
      </w:r>
    </w:p>
    <w:p>
      <w:pPr>
        <w:keepNext w:val="0"/>
        <w:spacing w:before="0" w:after="40"/>
        <w:ind w:left="288"/>
      </w:pPr>
      <w:r>
        <w:rPr>
          <w:rFonts w:ascii="JetBrains Mono" w:hAnsi="JetBrains Mono"/>
          <w:b w:val="0"/>
          <w:i w:val="0"/>
          <w:color w:val="6B6862"/>
          <w:sz w:val="18"/>
        </w:rPr>
        <w:t>Southwick  ·  Engelhardt  ·  Clement</w:t>
      </w:r>
    </w:p>
    <w:p>
      <w:pPr>
        <w:keepNext w:val="0"/>
        <w:spacing w:before="160" w:after="20"/>
      </w:pPr>
      <w:r>
        <w:rPr>
          <w:rFonts w:ascii="Cormorant Garamond" w:hAnsi="Cormorant Garamond"/>
          <w:b w:val="0"/>
          <w:i w:val="0"/>
          <w:color w:val="1A1814"/>
          <w:sz w:val="26"/>
        </w:rPr>
        <w:t>Deep Dive: Southwick</w:t>
      </w:r>
    </w:p>
    <w:p>
      <w:pPr>
        <w:keepNext w:val="0"/>
        <w:spacing w:before="0" w:after="40"/>
        <w:ind w:left="288"/>
      </w:pPr>
      <w:r>
        <w:rPr>
          <w:rFonts w:ascii="JetBrains Mono" w:hAnsi="JetBrains Mono"/>
          <w:b w:val="0"/>
          <w:i w:val="0"/>
          <w:color w:val="6B6862"/>
          <w:sz w:val="18"/>
        </w:rPr>
        <w:t>Questioning Profile  ·  Distinctive Patterns  ·  Rejection Triggers</w:t>
      </w:r>
    </w:p>
    <w:p>
      <w:pPr>
        <w:keepNext w:val="0"/>
        <w:spacing w:before="160" w:after="20"/>
      </w:pPr>
      <w:r>
        <w:rPr>
          <w:rFonts w:ascii="Cormorant Garamond" w:hAnsi="Cormorant Garamond"/>
          <w:b w:val="0"/>
          <w:i w:val="0"/>
          <w:color w:val="1A1814"/>
          <w:sz w:val="26"/>
        </w:rPr>
        <w:t>Deep Dive: Engelhardt</w:t>
      </w:r>
    </w:p>
    <w:p>
      <w:pPr>
        <w:keepNext w:val="0"/>
        <w:spacing w:before="0" w:after="40"/>
        <w:ind w:left="288"/>
      </w:pPr>
      <w:r>
        <w:rPr>
          <w:rFonts w:ascii="JetBrains Mono" w:hAnsi="JetBrains Mono"/>
          <w:b w:val="0"/>
          <w:i w:val="0"/>
          <w:color w:val="6B6862"/>
          <w:sz w:val="18"/>
        </w:rPr>
        <w:t>Questioning Profile  ·  Distinctive Patterns  ·  Rejection Triggers</w:t>
      </w:r>
    </w:p>
    <w:p>
      <w:pPr>
        <w:keepNext w:val="0"/>
        <w:spacing w:before="160" w:after="20"/>
      </w:pPr>
      <w:r>
        <w:rPr>
          <w:rFonts w:ascii="Cormorant Garamond" w:hAnsi="Cormorant Garamond"/>
          <w:b w:val="0"/>
          <w:i w:val="0"/>
          <w:color w:val="1A1814"/>
          <w:sz w:val="26"/>
        </w:rPr>
        <w:t>Deep Dive: Clement</w:t>
      </w:r>
    </w:p>
    <w:p>
      <w:pPr>
        <w:keepNext w:val="0"/>
        <w:spacing w:before="0" w:after="40"/>
        <w:ind w:left="288"/>
      </w:pPr>
      <w:r>
        <w:rPr>
          <w:rFonts w:ascii="JetBrains Mono" w:hAnsi="JetBrains Mono"/>
          <w:b w:val="0"/>
          <w:i w:val="0"/>
          <w:color w:val="6B6862"/>
          <w:sz w:val="18"/>
        </w:rPr>
        <w:t>Questioning Profile  ·  Distinctive Patterns  ·  Rejection Triggers</w:t>
      </w:r>
    </w:p>
    <w:p>
      <w:pPr>
        <w:keepNext w:val="0"/>
        <w:spacing w:before="160" w:after="20"/>
      </w:pPr>
      <w:r>
        <w:rPr>
          <w:rFonts w:ascii="Cormorant Garamond" w:hAnsi="Cormorant Garamond"/>
          <w:b w:val="0"/>
          <w:i w:val="0"/>
          <w:color w:val="1A1814"/>
          <w:sz w:val="26"/>
        </w:rPr>
        <w:t>Anticipated Questions &amp; Answers</w:t>
      </w:r>
    </w:p>
    <w:p>
      <w:pPr>
        <w:keepNext w:val="0"/>
        <w:spacing w:before="0" w:after="40"/>
        <w:ind w:left="288"/>
      </w:pPr>
      <w:r>
        <w:rPr>
          <w:rFonts w:ascii="JetBrains Mono" w:hAnsi="JetBrains Mono"/>
          <w:b w:val="0"/>
          <w:i w:val="0"/>
          <w:color w:val="6B6862"/>
          <w:sz w:val="18"/>
        </w:rPr>
        <w:t>Southwick  ·  Engelhardt  ·  Clement</w:t>
      </w:r>
    </w:p>
    <w:p>
      <w:pPr>
        <w:keepNext w:val="0"/>
        <w:spacing w:before="160" w:after="20"/>
      </w:pPr>
      <w:r>
        <w:rPr>
          <w:rFonts w:ascii="Cormorant Garamond" w:hAnsi="Cormorant Garamond"/>
          <w:b w:val="0"/>
          <w:i w:val="0"/>
          <w:color w:val="1A1814"/>
          <w:sz w:val="26"/>
        </w:rPr>
        <w:t>Rebuttal Prep</w:t>
      </w:r>
    </w:p>
    <w:p>
      <w:r>
        <w:br w:type="page"/>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BARTOLUS  ·  ORAL ARGUMENT PREP</w:t>
      </w:r>
    </w:p>
    <w:p>
      <w:bookmarkStart w:id="1" w:name="bm_case_at_a_glance"/>
      <w:pPr>
        <w:keepNext w:val="0"/>
        <w:spacing w:before="0" w:after="80"/>
      </w:pPr>
      <w:r>
        <w:rPr>
          <w:rFonts w:ascii="JetBrains Mono" w:hAnsi="JetBrains Mono"/>
          <w:b w:val="0"/>
          <w:i w:val="0"/>
          <w:color w:val="B8913D"/>
          <w:sz w:val="16"/>
          <w:spacing w:val="30"/>
        </w:rPr>
        <w:t>§ 01  —  CASE AT A GLANCE</w:t>
      </w:r>
      <w:bookmarkEnd w:id="1"/>
    </w:p>
    <w:p>
      <w:pPr>
        <w:keepNext/>
        <w:spacing w:before="240" w:after="200"/>
      </w:pPr>
      <w:r>
        <w:rPr>
          <w:rFonts w:ascii="Cormorant Garamond" w:hAnsi="Cormorant Garamond"/>
          <w:b w:val="0"/>
          <w:i w:val="0"/>
          <w:color w:val="1A1814"/>
          <w:sz w:val="44"/>
        </w:rPr>
        <w:t>Case at a Glance</w:t>
      </w:r>
    </w:p>
    <w:p>
      <w:pPr>
        <w:keepNext w:val="0"/>
        <w:spacing w:before="0" w:after="40"/>
      </w:pPr>
      <w:r>
        <w:rPr>
          <w:rFonts w:ascii="Cormorant Garamond" w:hAnsi="Cormorant Garamond"/>
          <w:b w:val="0"/>
          <w:i/>
          <w:color w:val="1A1814"/>
          <w:sz w:val="26"/>
        </w:rPr>
        <w:t>Alta Power v. General Electric International</w:t>
      </w:r>
    </w:p>
    <w:p>
      <w:pPr>
        <w:keepNext w:val="0"/>
        <w:spacing w:before="0" w:after="80"/>
      </w:pPr>
      <w:r>
        <w:rPr>
          <w:rFonts w:ascii="JetBrains Mono" w:hAnsi="JetBrains Mono"/>
          <w:b w:val="0"/>
          <w:i w:val="0"/>
          <w:color w:val="6B6862"/>
          <w:sz w:val="18"/>
        </w:rPr>
        <w:t>No. 25-10774  ·  Southwick, Engelhardt, Clement  ·  You are Appellant</w:t>
      </w:r>
    </w:p>
    <w:p>
      <w:pPr>
        <w:keepNext w:val="0"/>
        <w:spacing w:before="160" w:after="240"/>
        <w:pBdr>
          <w:bottom w:val="single" w:sz="6" w:space="1" w:color="CFC8B8"/>
        </w:pBdr>
      </w:pPr>
    </w:p>
    <w:p>
      <w:pPr>
        <w:keepNext/>
        <w:spacing w:before="280" w:after="120"/>
      </w:pPr>
      <w:r>
        <w:rPr>
          <w:rFonts w:ascii="Cormorant Garamond" w:hAnsi="Cormorant Garamond"/>
          <w:b w:val="0"/>
          <w:i w:val="0"/>
          <w:color w:val="1A1814"/>
          <w:sz w:val="32"/>
        </w:rPr>
        <w:t>Case Summary</w:t>
      </w:r>
    </w:p>
    <w:p>
      <w:pPr>
        <w:keepNext w:val="0"/>
        <w:spacing w:before="0" w:after="120"/>
      </w:pPr>
      <w:r>
        <w:rPr>
          <w:rFonts w:ascii="EB Garamond" w:hAnsi="EB Garamond"/>
          <w:b w:val="0"/>
          <w:i w:val="0"/>
          <w:color w:val="1A1814"/>
          <w:sz w:val="22"/>
        </w:rPr>
        <w:t>Alta Power, a Texas peaker-plant developer, sued GE International alleging that GE fraudulently induced Alta to sign a Master Agreement with WattStock (GE’s partner) by misrepresenting the nature and binding commitments of their partnership, causing Alta to forgo a deal with ProEnergy. The district court granted summary judgment for GE, holding that the Master Agreement’s consequential-damages waiver—which extended to WattStock’s ‘subcontractors’—barred Alta’s claims for lost profits even though GE’s alleged fraud predated the Agreement and GE’s subcontractor status. Alta appeals, arguing the district court misconstrued the Agreement, misapplied Texas fraud law, and erroneously extended the waiver to intentional torts.</w:t>
      </w:r>
    </w:p>
    <w:p>
      <w:pPr>
        <w:keepNext/>
        <w:spacing w:before="200" w:after="80"/>
      </w:pPr>
      <w:r>
        <w:rPr>
          <w:rFonts w:ascii="Cormorant Garamond" w:hAnsi="Cormorant Garamond"/>
          <w:b w:val="0"/>
          <w:i w:val="0"/>
          <w:color w:val="1A1814"/>
          <w:sz w:val="26"/>
        </w:rPr>
        <w:t>Key Timeline</w:t>
      </w:r>
    </w:p>
    <w:p>
      <w:pPr>
        <w:keepNext w:val="0"/>
        <w:spacing w:before="0" w:after="60"/>
        <w:ind w:left="216"/>
      </w:pPr>
      <w:r>
        <w:rPr>
          <w:rFonts w:ascii="EB Garamond" w:hAnsi="EB Garamond"/>
          <w:b w:val="0"/>
          <w:i w:val="0"/>
          <w:color w:val="1A1814"/>
          <w:sz w:val="22"/>
        </w:rPr>
        <w:t>2016 — ProEnergy Solutions enters refurbished-turbine market, threatening GE’s monopoly</w:t>
      </w:r>
    </w:p>
    <w:p>
      <w:pPr>
        <w:keepNext w:val="0"/>
        <w:spacing w:before="0" w:after="60"/>
        <w:ind w:left="216"/>
      </w:pPr>
      <w:r>
        <w:rPr>
          <w:rFonts w:ascii="EB Garamond" w:hAnsi="EB Garamond"/>
          <w:b w:val="0"/>
          <w:i w:val="0"/>
          <w:color w:val="1A1814"/>
          <w:sz w:val="22"/>
        </w:rPr>
        <w:t>2017 — Alta Power formed to build three peaker plants in North Texas</w:t>
      </w:r>
    </w:p>
    <w:p>
      <w:pPr>
        <w:keepNext w:val="0"/>
        <w:spacing w:before="0" w:after="60"/>
        <w:ind w:left="216"/>
      </w:pPr>
      <w:r>
        <w:rPr>
          <w:rFonts w:ascii="EB Garamond" w:hAnsi="EB Garamond"/>
          <w:b w:val="0"/>
          <w:i w:val="0"/>
          <w:color w:val="1A1814"/>
          <w:sz w:val="22"/>
        </w:rPr>
        <w:t>June 26, 2017 — GE and WattStock execute Memorandum of Understanding (MOU)</w:t>
      </w:r>
    </w:p>
    <w:p>
      <w:pPr>
        <w:keepNext w:val="0"/>
        <w:spacing w:before="0" w:after="60"/>
        <w:ind w:left="216"/>
      </w:pPr>
      <w:r>
        <w:rPr>
          <w:rFonts w:ascii="EB Garamond" w:hAnsi="EB Garamond"/>
          <w:b w:val="0"/>
          <w:i w:val="0"/>
          <w:color w:val="1A1814"/>
          <w:sz w:val="22"/>
        </w:rPr>
        <w:t>August 2018 — ProEnergy presents binding offer to Alta for full suite of peaker-plant services</w:t>
      </w:r>
    </w:p>
    <w:p>
      <w:pPr>
        <w:keepNext w:val="0"/>
        <w:spacing w:before="0" w:after="60"/>
        <w:ind w:left="216"/>
      </w:pPr>
      <w:r>
        <w:rPr>
          <w:rFonts w:ascii="EB Garamond" w:hAnsi="EB Garamond"/>
          <w:b w:val="0"/>
          <w:i w:val="0"/>
          <w:color w:val="1A1814"/>
          <w:sz w:val="22"/>
        </w:rPr>
        <w:t>May 2018 — Alta and WattStock meet for first time to discuss TruePackage program</w:t>
      </w:r>
    </w:p>
    <w:p>
      <w:pPr>
        <w:keepNext w:val="0"/>
        <w:spacing w:before="0" w:after="60"/>
        <w:ind w:left="216"/>
      </w:pPr>
      <w:r>
        <w:rPr>
          <w:rFonts w:ascii="EB Garamond" w:hAnsi="EB Garamond"/>
          <w:b w:val="0"/>
          <w:i w:val="0"/>
          <w:color w:val="1A1814"/>
          <w:sz w:val="22"/>
        </w:rPr>
        <w:t>2018 — GE and WattStock representatives repeatedly make oral promises to Alta about partnership, price, and warranty backstop throughout 2018 and into early 2019</w:t>
      </w:r>
    </w:p>
    <w:p>
      <w:pPr>
        <w:keepNext w:val="0"/>
        <w:spacing w:before="0" w:after="60"/>
        <w:ind w:left="216"/>
      </w:pPr>
      <w:r>
        <w:rPr>
          <w:rFonts w:ascii="EB Garamond" w:hAnsi="EB Garamond"/>
          <w:b w:val="0"/>
          <w:i w:val="0"/>
          <w:color w:val="1A1814"/>
          <w:sz w:val="22"/>
        </w:rPr>
        <w:t>On the eve of the ProEnergy offer’s expiration (late 2018/early 2019) — GE takes Alta executives to lunch, reaffirms binding partnership with WattStock and pledges to meet Alta’s budget</w:t>
      </w:r>
    </w:p>
    <w:p>
      <w:pPr>
        <w:keepNext w:val="0"/>
        <w:spacing w:before="0" w:after="60"/>
        <w:ind w:left="216"/>
      </w:pPr>
      <w:r>
        <w:rPr>
          <w:rFonts w:ascii="EB Garamond" w:hAnsi="EB Garamond"/>
          <w:b w:val="0"/>
          <w:i w:val="0"/>
          <w:color w:val="1A1814"/>
          <w:sz w:val="22"/>
        </w:rPr>
        <w:t>February 27, 2019 — Alta and WattStock execute the Master Agreement</w:t>
      </w:r>
    </w:p>
    <w:p>
      <w:pPr>
        <w:keepNext w:val="0"/>
        <w:spacing w:before="0" w:after="60"/>
        <w:ind w:left="216"/>
      </w:pPr>
      <w:r>
        <w:rPr>
          <w:rFonts w:ascii="EB Garamond" w:hAnsi="EB Garamond"/>
          <w:b w:val="0"/>
          <w:i w:val="0"/>
          <w:color w:val="1A1814"/>
          <w:sz w:val="22"/>
        </w:rPr>
        <w:t>July 2019 (at earliest) — GE and WattStock enter written subcontractor agreement for Alta’s project (ROA.20526)</w:t>
      </w:r>
    </w:p>
    <w:p>
      <w:pPr>
        <w:keepNext w:val="0"/>
        <w:spacing w:before="0" w:after="60"/>
        <w:ind w:left="216"/>
      </w:pPr>
      <w:r>
        <w:rPr>
          <w:rFonts w:ascii="EB Garamond" w:hAnsi="EB Garamond"/>
          <w:b w:val="0"/>
          <w:i w:val="0"/>
          <w:color w:val="1A1814"/>
          <w:sz w:val="22"/>
        </w:rPr>
        <w:t>2019 — Alta executes Cancellation Fee Agreement acknowledging GE as WattStock subcontractor; Alta designates GE as ‘Major Subcontractor’ in documents</w:t>
      </w:r>
    </w:p>
    <w:p>
      <w:pPr>
        <w:keepNext w:val="0"/>
        <w:spacing w:before="0" w:after="60"/>
        <w:ind w:left="216"/>
      </w:pPr>
      <w:r>
        <w:rPr>
          <w:rFonts w:ascii="EB Garamond" w:hAnsi="EB Garamond"/>
          <w:b w:val="0"/>
          <w:i w:val="0"/>
          <w:color w:val="1A1814"/>
          <w:sz w:val="22"/>
        </w:rPr>
        <w:t>Early 2020 — WattStock runs out of money; acknowledges failure to locate suitable turbines</w:t>
      </w:r>
    </w:p>
    <w:p>
      <w:pPr>
        <w:keepNext w:val="0"/>
        <w:spacing w:before="0" w:after="60"/>
        <w:ind w:left="216"/>
      </w:pPr>
      <w:r>
        <w:rPr>
          <w:rFonts w:ascii="EB Garamond" w:hAnsi="EB Garamond"/>
          <w:b w:val="0"/>
          <w:i w:val="0"/>
          <w:color w:val="1A1814"/>
          <w:sz w:val="22"/>
        </w:rPr>
        <w:t>February 5, 2020 — Alta and WattStock amend Master Agreement; waiver provisions unchanged</w:t>
      </w:r>
    </w:p>
    <w:p>
      <w:pPr>
        <w:keepNext w:val="0"/>
        <w:spacing w:before="0" w:after="60"/>
        <w:ind w:left="216"/>
      </w:pPr>
      <w:r>
        <w:rPr>
          <w:rFonts w:ascii="EB Garamond" w:hAnsi="EB Garamond"/>
          <w:b w:val="0"/>
          <w:i w:val="0"/>
          <w:color w:val="1A1814"/>
          <w:sz w:val="22"/>
        </w:rPr>
        <w:t>Early 2020 — Alta approaches GE to honor commitment; GE reveals no binding partnership obligation existed</w:t>
      </w:r>
    </w:p>
    <w:p>
      <w:pPr>
        <w:keepNext w:val="0"/>
        <w:spacing w:before="0" w:after="60"/>
        <w:ind w:left="216"/>
      </w:pPr>
      <w:r>
        <w:rPr>
          <w:rFonts w:ascii="EB Garamond" w:hAnsi="EB Garamond"/>
          <w:b w:val="0"/>
          <w:i w:val="0"/>
          <w:color w:val="1A1814"/>
          <w:sz w:val="22"/>
        </w:rPr>
        <w:t>April 2020 — Alta and GE execute 2020 NDA</w:t>
      </w:r>
    </w:p>
    <w:p>
      <w:pPr>
        <w:keepNext w:val="0"/>
        <w:spacing w:before="0" w:after="60"/>
        <w:ind w:left="216"/>
      </w:pPr>
      <w:r>
        <w:rPr>
          <w:rFonts w:ascii="EB Garamond" w:hAnsi="EB Garamond"/>
          <w:b w:val="0"/>
          <w:i w:val="0"/>
          <w:color w:val="1A1814"/>
          <w:sz w:val="22"/>
        </w:rPr>
        <w:t>June 2020 — Alta terminates agreements with WattStock; WattStock sues Alta in state court; Alta counterclaims against GE and WattStock</w:t>
      </w:r>
    </w:p>
    <w:p>
      <w:pPr>
        <w:keepNext w:val="0"/>
        <w:spacing w:before="0" w:after="60"/>
        <w:ind w:left="216"/>
      </w:pPr>
      <w:r>
        <w:rPr>
          <w:rFonts w:ascii="EB Garamond" w:hAnsi="EB Garamond"/>
          <w:b w:val="0"/>
          <w:i w:val="0"/>
          <w:color w:val="1A1814"/>
          <w:sz w:val="22"/>
        </w:rPr>
        <w:t>August 2021 — WattStock files for bankruptcy; case removed to federal court and referred to bankruptcy court</w:t>
      </w:r>
    </w:p>
    <w:p>
      <w:pPr>
        <w:keepNext w:val="0"/>
        <w:spacing w:before="0" w:after="60"/>
        <w:ind w:left="216"/>
      </w:pPr>
      <w:r>
        <w:rPr>
          <w:rFonts w:ascii="EB Garamond" w:hAnsi="EB Garamond"/>
          <w:b w:val="0"/>
          <w:i w:val="0"/>
          <w:color w:val="1A1814"/>
          <w:sz w:val="22"/>
        </w:rPr>
        <w:t>May 2021 — State court denies GE’s motion to dismiss based on waiver argument</w:t>
      </w:r>
    </w:p>
    <w:p>
      <w:pPr>
        <w:keepNext w:val="0"/>
        <w:spacing w:before="0" w:after="60"/>
        <w:ind w:left="216"/>
      </w:pPr>
      <w:r>
        <w:rPr>
          <w:rFonts w:ascii="EB Garamond" w:hAnsi="EB Garamond"/>
          <w:b w:val="0"/>
          <w:i w:val="0"/>
          <w:color w:val="1A1814"/>
          <w:sz w:val="22"/>
        </w:rPr>
        <w:t>May 2022 — Bankruptcy court denies GE’s Rule 12(c) motion based on same waiver argument</w:t>
      </w:r>
    </w:p>
    <w:p>
      <w:pPr>
        <w:keepNext w:val="0"/>
        <w:spacing w:before="0" w:after="60"/>
        <w:ind w:left="216"/>
      </w:pPr>
      <w:r>
        <w:rPr>
          <w:rFonts w:ascii="EB Garamond" w:hAnsi="EB Garamond"/>
          <w:b w:val="0"/>
          <w:i w:val="0"/>
          <w:color w:val="1A1814"/>
          <w:sz w:val="22"/>
        </w:rPr>
        <w:t>Post-bankruptcy — Alta and WattStock settle; WattStock dissolved; case returns to federal district court</w:t>
      </w:r>
    </w:p>
    <w:p>
      <w:pPr>
        <w:keepNext w:val="0"/>
        <w:spacing w:before="0" w:after="60"/>
        <w:ind w:left="216"/>
      </w:pPr>
      <w:r>
        <w:rPr>
          <w:rFonts w:ascii="EB Garamond" w:hAnsi="EB Garamond"/>
          <w:b w:val="0"/>
          <w:i w:val="0"/>
          <w:color w:val="1A1814"/>
          <w:sz w:val="22"/>
        </w:rPr>
        <w:t>June 12, 2025 — District court grants GE summary judgment, dismisses all of Alta’s claims</w:t>
      </w:r>
    </w:p>
    <w:p>
      <w:pPr>
        <w:keepNext w:val="0"/>
        <w:spacing w:before="0" w:after="60"/>
        <w:ind w:left="216"/>
      </w:pPr>
      <w:r>
        <w:rPr>
          <w:rFonts w:ascii="EB Garamond" w:hAnsi="EB Garamond"/>
          <w:b w:val="0"/>
          <w:i w:val="0"/>
          <w:color w:val="1A1814"/>
          <w:sz w:val="22"/>
        </w:rPr>
        <w:t>June 17, 2025 — Alta files notice of appeal</w:t>
      </w:r>
    </w:p>
    <w:p>
      <w:pPr>
        <w:keepNext w:val="0"/>
        <w:spacing w:before="0" w:after="60"/>
        <w:ind w:left="216"/>
      </w:pPr>
      <w:r>
        <w:rPr>
          <w:rFonts w:ascii="EB Garamond" w:hAnsi="EB Garamond"/>
          <w:b w:val="0"/>
          <w:i w:val="0"/>
          <w:color w:val="1A1814"/>
          <w:sz w:val="22"/>
        </w:rPr>
        <w:t>October 15, 2025 — Alta files opening brief</w:t>
      </w:r>
    </w:p>
    <w:p>
      <w:pPr>
        <w:keepNext w:val="0"/>
        <w:spacing w:before="0" w:after="60"/>
        <w:ind w:left="216"/>
      </w:pPr>
      <w:r>
        <w:rPr>
          <w:rFonts w:ascii="EB Garamond" w:hAnsi="EB Garamond"/>
          <w:b w:val="0"/>
          <w:i w:val="0"/>
          <w:color w:val="1A1814"/>
          <w:sz w:val="22"/>
        </w:rPr>
        <w:t>January 14, 2026 — GE files appellee brief</w:t>
      </w:r>
    </w:p>
    <w:p>
      <w:pPr>
        <w:keepNext w:val="0"/>
        <w:spacing w:before="160" w:after="160"/>
        <w:pBdr>
          <w:bottom w:val="single" w:sz="6" w:space="1" w:color="CFC8B8"/>
        </w:pBdr>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KEY FACT</w:t>
            </w:r>
          </w:p>
          <w:p>
            <w:pPr>
              <w:spacing w:after="40"/>
              <w:ind w:left="259"/>
            </w:pPr>
            <w:r>
              <w:rPr>
                <w:rFonts w:ascii="EB Garamond" w:hAnsi="EB Garamond"/>
                <w:b w:val="0"/>
                <w:i w:val="0"/>
                <w:color w:val="1A1814"/>
                <w:sz w:val="22"/>
              </w:rPr>
              <w:t>The record establishes that GE did not become WattStock’s subcontractor until at least July 2019 (ROA.20526)—five months after Alta and WattStock executed the Master Agreement in February 2019—yet GE’s alleged fraudulent misrepresentations to Alta occurred throughout 2018 and into early 2019, before the Agreement existed and before GE had any subcontractor relationship with WattStock.</w:t>
            </w:r>
          </w:p>
        </w:tc>
      </w:tr>
    </w:tbl>
    <w:p>
      <w:pPr>
        <w:keepNext w:val="0"/>
        <w:spacing w:before="0" w:after="160"/>
      </w:pPr>
    </w:p>
    <w:p>
      <w:pPr>
        <w:keepNext w:val="0"/>
        <w:spacing w:before="240" w:after="160"/>
        <w:pBdr>
          <w:bottom w:val="single" w:sz="6" w:space="1" w:color="CFC8B8"/>
        </w:pBdr>
      </w:pPr>
    </w:p>
    <w:p>
      <w:pPr>
        <w:keepNext/>
        <w:spacing w:before="280" w:after="120"/>
      </w:pPr>
      <w:r>
        <w:rPr>
          <w:rFonts w:ascii="Cormorant Garamond" w:hAnsi="Cormorant Garamond"/>
          <w:b w:val="0"/>
          <w:i w:val="0"/>
          <w:color w:val="1A1814"/>
          <w:sz w:val="32"/>
        </w:rPr>
        <w:t>Your Three Arguments</w:t>
      </w:r>
    </w:p>
    <w:p>
      <w:pPr>
        <w:keepNext w:val="0"/>
        <w:spacing w:before="0" w:after="120"/>
      </w:pPr>
      <w:r>
        <w:rPr>
          <w:rFonts w:ascii="EB Garamond" w:hAnsi="EB Garamond"/>
          <w:b/>
          <w:i w:val="0"/>
          <w:color w:val="1A1814"/>
          <w:sz w:val="22"/>
        </w:rPr>
        <w:t xml:space="preserve">1. GE's Pre-Agreement Fraud Is Not Covered by the Master Agreement's Consequential-Damages Waiver Because GE Was Not Acting as a Subcontractor When It Committed the Fraud: </w:t>
      </w:r>
      <w:r>
        <w:rPr>
          <w:rFonts w:ascii="EB Garamond" w:hAnsi="EB Garamond"/>
          <w:b w:val="0"/>
          <w:i w:val="0"/>
          <w:color w:val="1A1814"/>
          <w:sz w:val="22"/>
        </w:rPr>
        <w:t>The district court erred in concluding that the consequential-damages waiver in the Alta–WattStock Master Agreement limited GE's liability for its fraudulent conduct before the Agreement was signed. GE argues that it is a third-party beneficiary of the Alta–WattStock Agreement as a 'subcontractor,' but GE had not yet become WattStock's subcontractor when it fraudulently induced Alta to enter the Agreement—GE cannot be retroactively absolved of its pre-Agreement fraud because it became a subcontractor months after it defrauded Alta. Alta and WattStock did not clearly intend to waive consequential damages for the actions of anyone who became a subcontractor, but instead only those actions of a subcontractor as a subcontractor, and under Texas law any doubt must be construed against GE.</w:t>
      </w:r>
    </w:p>
    <w:p>
      <w:pPr>
        <w:keepNext w:val="0"/>
        <w:spacing w:before="20" w:after="120"/>
        <w:ind w:left="288"/>
      </w:pPr>
      <w:r>
        <w:rPr>
          <w:rFonts w:ascii="EB Garamond" w:hAnsi="EB Garamond"/>
          <w:b/>
          <w:i w:val="0"/>
          <w:color w:val="6B6862"/>
          <w:sz w:val="18"/>
        </w:rPr>
        <w:t xml:space="preserve">Standard of review:  </w:t>
      </w:r>
      <w:r>
        <w:rPr>
          <w:rFonts w:ascii="EB Garamond" w:hAnsi="EB Garamond"/>
          <w:b w:val="0"/>
          <w:i/>
          <w:color w:val="6B6862"/>
          <w:sz w:val="18"/>
        </w:rPr>
        <w:t>De novo</w:t>
      </w:r>
    </w:p>
    <w:p>
      <w:pPr>
        <w:keepNext w:val="0"/>
        <w:spacing w:before="0" w:after="120"/>
      </w:pPr>
      <w:r>
        <w:rPr>
          <w:rFonts w:ascii="EB Garamond" w:hAnsi="EB Garamond"/>
          <w:b/>
          <w:i w:val="0"/>
          <w:color w:val="1A1814"/>
          <w:sz w:val="22"/>
        </w:rPr>
        <w:t xml:space="preserve">2. Fraud Vitiates the Consequential-Damages Waiver Under Texas Law and the District Court Misapplied Bombardier: </w:t>
      </w:r>
      <w:r>
        <w:rPr>
          <w:rFonts w:ascii="EB Garamond" w:hAnsi="EB Garamond"/>
          <w:b w:val="0"/>
          <w:i w:val="0"/>
          <w:color w:val="1A1814"/>
          <w:sz w:val="22"/>
        </w:rPr>
        <w:t>Even if GE were a third-party beneficiary of the Agreement, Texas law provides that fraud vitiates a contract except in the rarest of circumstances, and the district court misread Bombardier's enforcement of a punitive-damages waiver by a contractual party to have established a bright-line rule that fraud never vitiates a damages waiver. In reality, Bombardier was far narrower—enforcing a clear and unequivocal waiver only after balancing competing interests and carefully examining all the circumstances, and specifically distinguishing other cases by noting that 'nowhere do the provisions at issue, read as a whole, limit actual damages.' The district court's extension of Bombardier to a waiver of actual damages invoked by a non-party to the contract sweeps far beyond Bombardier's limited holding and overrides almost two centuries of Texas jurisprudence that fraud vitiates whatever it touches.</w:t>
      </w:r>
    </w:p>
    <w:p>
      <w:pPr>
        <w:keepNext w:val="0"/>
        <w:spacing w:before="20" w:after="120"/>
        <w:ind w:left="288"/>
      </w:pPr>
      <w:r>
        <w:rPr>
          <w:rFonts w:ascii="EB Garamond" w:hAnsi="EB Garamond"/>
          <w:b/>
          <w:i w:val="0"/>
          <w:color w:val="6B6862"/>
          <w:sz w:val="18"/>
        </w:rPr>
        <w:t xml:space="preserve">Standard of review:  </w:t>
      </w:r>
      <w:r>
        <w:rPr>
          <w:rFonts w:ascii="EB Garamond" w:hAnsi="EB Garamond"/>
          <w:b w:val="0"/>
          <w:i/>
          <w:color w:val="6B6862"/>
          <w:sz w:val="18"/>
        </w:rPr>
        <w:t>De novo</w:t>
      </w:r>
    </w:p>
    <w:p>
      <w:pPr>
        <w:keepNext w:val="0"/>
        <w:spacing w:before="0" w:after="120"/>
      </w:pPr>
      <w:r>
        <w:rPr>
          <w:rFonts w:ascii="EB Garamond" w:hAnsi="EB Garamond"/>
          <w:b/>
          <w:i w:val="0"/>
          <w:color w:val="1A1814"/>
          <w:sz w:val="22"/>
        </w:rPr>
        <w:t xml:space="preserve">3. The Master Agreement's Consequential-Damages Waiver Does Not Cover Intentional Torts: </w:t>
      </w:r>
      <w:r>
        <w:rPr>
          <w:rFonts w:ascii="EB Garamond" w:hAnsi="EB Garamond"/>
          <w:b w:val="0"/>
          <w:i w:val="0"/>
          <w:color w:val="1A1814"/>
          <w:sz w:val="22"/>
        </w:rPr>
        <w:t>The district court erred for a third dispositive reason by giving short shrift to the important difference between intentional torts—like GE's fraud, civil conspiracy, and tortious interference—and the unintentional torts enumerated in the consequential-damages waiver. Section 9.1(B)'s waiver enumerates specific causes of action—negligence, strict liability, breach of contract, and breach of strict or implied warranty—all of which are contract-related or unintentional torts, and under the canon expressio unius est exclusio alterius this list necessarily implies the exclusion of intentional torts; moreover, the parties' deliberate use of 'including' (a more limited phrase) for causes of action versus 'shall include but is not limited to' (an explicitly non-exclusive phrase) for categories of damages signals that the causes-of-action list was intended to be exclusive. Texas law recognizes that a contractual provision 'exempting a party from tort liability for harm caused intentionally or recklessly is unenforceable on grounds of public policy,' and Alta and WattStock would have explicitly stated they were waiving intentional torts if they intended to do so.</w:t>
      </w:r>
    </w:p>
    <w:p>
      <w:pPr>
        <w:keepNext w:val="0"/>
        <w:spacing w:before="20" w:after="120"/>
        <w:ind w:left="288"/>
      </w:pPr>
      <w:r>
        <w:rPr>
          <w:rFonts w:ascii="EB Garamond" w:hAnsi="EB Garamond"/>
          <w:b/>
          <w:i w:val="0"/>
          <w:color w:val="6B6862"/>
          <w:sz w:val="18"/>
        </w:rPr>
        <w:t xml:space="preserve">Standard of review:  </w:t>
      </w:r>
      <w:r>
        <w:rPr>
          <w:rFonts w:ascii="EB Garamond" w:hAnsi="EB Garamond"/>
          <w:b w:val="0"/>
          <w:i/>
          <w:color w:val="6B6862"/>
          <w:sz w:val="18"/>
        </w:rPr>
        <w:t>De novo</w:t>
      </w:r>
    </w:p>
    <w:p>
      <w:r>
        <w:br w:type="page"/>
      </w:r>
    </w:p>
    <w:p>
      <w:bookmarkStart w:id="2" w:name="bm_record_vulns"/>
      <w:pPr>
        <w:keepNext w:val="0"/>
        <w:spacing w:before="0" w:after="40"/>
      </w:pPr>
      <w:r>
        <w:rPr>
          <w:rFonts w:ascii="JetBrains Mono" w:hAnsi="JetBrains Mono"/>
          <w:b w:val="0"/>
          <w:i w:val="0"/>
          <w:color w:val="B8913D"/>
          <w:sz w:val="16"/>
          <w:spacing w:val="30"/>
        </w:rPr>
        <w:t>§ 02  —  RECORD VULNERABILITIES</w:t>
      </w:r>
      <w:bookmarkEnd w:id="2"/>
    </w:p>
    <w:p>
      <w:pPr>
        <w:keepNext/>
        <w:spacing w:before="240" w:after="200"/>
      </w:pPr>
      <w:r>
        <w:rPr>
          <w:rFonts w:ascii="Cormorant Garamond" w:hAnsi="Cormorant Garamond"/>
          <w:b w:val="0"/>
          <w:i w:val="0"/>
          <w:color w:val="1A1814"/>
          <w:sz w:val="44"/>
        </w:rPr>
        <w:t>Record Vulnerabilities</w:t>
      </w:r>
    </w:p>
    <w:p>
      <w:pPr>
        <w:keepNext w:val="0"/>
        <w:spacing w:before="0" w:after="200"/>
      </w:pPr>
      <w:r>
        <w:rPr>
          <w:rFonts w:ascii="EB Garamond" w:hAnsi="EB Garamond"/>
          <w:b w:val="0"/>
          <w:i/>
          <w:color w:val="4A4843"/>
          <w:sz w:val="22"/>
        </w:rPr>
        <w:t>Specific facts, documents, or events a judge may probe. Know these cold.</w:t>
      </w:r>
    </w:p>
    <w:p>
      <w:pPr>
        <w:keepNext w:val="0"/>
        <w:spacing w:before="0" w:after="60"/>
        <w:ind w:left="144"/>
      </w:pPr>
      <w:r>
        <w:rPr>
          <w:rFonts w:ascii="JetBrains Mono" w:hAnsi="JetBrains Mono"/>
          <w:b w:val="0"/>
          <w:i w:val="0"/>
          <w:color w:val="C8392B"/>
          <w:sz w:val="16"/>
          <w:spacing w:val="30"/>
        </w:rPr>
        <w:t xml:space="preserve">RECORD FLAG  </w:t>
      </w:r>
      <w:r>
        <w:rPr>
          <w:rFonts w:ascii="EB Garamond" w:hAnsi="EB Garamond"/>
          <w:b/>
          <w:i w:val="0"/>
          <w:color w:val="1A1814"/>
          <w:sz w:val="22"/>
        </w:rPr>
        <w:t>The GE–WattStock MOU (executed June 26, 2017, ROA.7871–75) expressly provided that GE could serve as WattStock’s subcontractor on developer projects like Alta’s, and was executed nearly two years before the Master Agreement.</w:t>
      </w:r>
    </w:p>
    <w:p>
      <w:pPr>
        <w:keepNext w:val="0"/>
        <w:spacing w:before="0" w:after="120"/>
        <w:ind w:left="432"/>
      </w:pPr>
      <w:r>
        <w:rPr>
          <w:rFonts w:ascii="EB Garamond" w:hAnsi="EB Garamond"/>
          <w:b w:val="0"/>
          <w:i w:val="0"/>
          <w:color w:val="4A4843"/>
          <w:sz w:val="22"/>
        </w:rPr>
        <w:t>A judge may press whether GE’s subcontractor status was effectively established by the pre-existing MOU, undercutting Alta’s temporal argument that GE was not yet a subcontractor—and GE argues this rebuts Alta’s claim that the alleged conduct predated GE’s subcontractor relationship with WattStock.</w:t>
      </w:r>
    </w:p>
    <w:p>
      <w:pPr>
        <w:keepNext w:val="0"/>
        <w:spacing w:before="80" w:after="120"/>
        <w:pBdr>
          <w:bottom w:val="single" w:sz="6" w:space="1" w:color="CFC8B8"/>
        </w:pBdr>
      </w:pPr>
    </w:p>
    <w:p>
      <w:pPr>
        <w:keepNext w:val="0"/>
        <w:spacing w:before="0" w:after="60"/>
        <w:ind w:left="144"/>
      </w:pPr>
      <w:r>
        <w:rPr>
          <w:rFonts w:ascii="JetBrains Mono" w:hAnsi="JetBrains Mono"/>
          <w:b w:val="0"/>
          <w:i w:val="0"/>
          <w:color w:val="C8392B"/>
          <w:sz w:val="16"/>
          <w:spacing w:val="30"/>
        </w:rPr>
        <w:t xml:space="preserve">RECORD FLAG  </w:t>
      </w:r>
      <w:r>
        <w:rPr>
          <w:rFonts w:ascii="EB Garamond" w:hAnsi="EB Garamond"/>
          <w:b/>
          <w:i w:val="0"/>
          <w:color w:val="1A1814"/>
          <w:sz w:val="22"/>
        </w:rPr>
        <w:t>Alta’s own documents—including the Cancellation Fee Agreement (ROA.8080–81), Alta’s designation of GE as a ‘Major Subcontractor’ (ROA.21087, 21138), and a letter from Alta’s CFO to Deutsche Bank identifying GE as ‘a subcontractor to WattStock’ (ROA.8963–65)—affirmatively acknowledge GE as WattStock’s subcontractor, and Alta previously alleged in its own third-party complaint that ‘GE is an affiliate or representative of WattStock and, therefore, a party to the Master Agreement’ (ROA.9208).</w:t>
      </w:r>
    </w:p>
    <w:p>
      <w:pPr>
        <w:keepNext w:val="0"/>
        <w:spacing w:before="0" w:after="120"/>
        <w:ind w:left="432"/>
      </w:pPr>
      <w:r>
        <w:rPr>
          <w:rFonts w:ascii="EB Garamond" w:hAnsi="EB Garamond"/>
          <w:b w:val="0"/>
          <w:i w:val="0"/>
          <w:color w:val="4A4843"/>
          <w:sz w:val="22"/>
        </w:rPr>
        <w:t>A judge may probe whether Alta is judicially estopped or otherwise inconsistent in now arguing that GE cannot benefit from the Agreement as a subcontractor when Alta’s own prior litigation positions and transactional documents repeatedly treated GE as falling within the Agreement’s scope.</w:t>
      </w:r>
    </w:p>
    <w:p>
      <w:pPr>
        <w:keepNext w:val="0"/>
        <w:spacing w:before="80" w:after="120"/>
        <w:pBdr>
          <w:bottom w:val="single" w:sz="6" w:space="1" w:color="CFC8B8"/>
        </w:pBdr>
      </w:pPr>
    </w:p>
    <w:p>
      <w:pPr>
        <w:keepNext w:val="0"/>
        <w:spacing w:before="0" w:after="60"/>
        <w:ind w:left="144"/>
      </w:pPr>
      <w:r>
        <w:rPr>
          <w:rFonts w:ascii="JetBrains Mono" w:hAnsi="JetBrains Mono"/>
          <w:b w:val="0"/>
          <w:i w:val="0"/>
          <w:color w:val="C8392B"/>
          <w:sz w:val="16"/>
          <w:spacing w:val="30"/>
        </w:rPr>
        <w:t xml:space="preserve">RECORD FLAG  </w:t>
      </w:r>
      <w:r>
        <w:rPr>
          <w:rFonts w:ascii="EB Garamond" w:hAnsi="EB Garamond"/>
          <w:b/>
          <w:i w:val="0"/>
          <w:color w:val="1A1814"/>
          <w:sz w:val="22"/>
        </w:rPr>
        <w:t>Alta reaffirmed the Master Agreement (including the unchanged waiver provisions) on February 5, 2020 in the amended Master Agreement (ROA.21075–76), and separately executed a 2020 NDA directly with GE in April 2020 (ROA.23701–04) containing its own sweeping consequential-damages waiver—both executed after GE had become WattStock’s written subcontractor for Alta’s project in mid-2019.</w:t>
      </w:r>
    </w:p>
    <w:p>
      <w:pPr>
        <w:keepNext w:val="0"/>
        <w:spacing w:before="0" w:after="120"/>
        <w:ind w:left="432"/>
      </w:pPr>
      <w:r>
        <w:rPr>
          <w:rFonts w:ascii="EB Garamond" w:hAnsi="EB Garamond"/>
          <w:b w:val="0"/>
          <w:i w:val="0"/>
          <w:color w:val="4A4843"/>
          <w:sz w:val="22"/>
        </w:rPr>
        <w:t>A judge may focus on the post-fraud reaffirmation of the waiver as evidence that Alta had an opportunity to negotiate different terms or disclaim the waiver after learning of GE’s alleged fraud, weakening Alta’s argument that the waiver should not bind it.</w:t>
      </w:r>
    </w:p>
    <w:p>
      <w:pPr>
        <w:keepNext w:val="0"/>
        <w:spacing w:before="80" w:after="120"/>
        <w:pBdr>
          <w:bottom w:val="single" w:sz="6" w:space="1" w:color="CFC8B8"/>
        </w:pBdr>
      </w:pPr>
    </w:p>
    <w:p>
      <w:pPr>
        <w:keepNext w:val="0"/>
        <w:spacing w:before="0" w:after="60"/>
        <w:ind w:left="144"/>
      </w:pPr>
      <w:r>
        <w:rPr>
          <w:rFonts w:ascii="JetBrains Mono" w:hAnsi="JetBrains Mono"/>
          <w:b w:val="0"/>
          <w:i w:val="0"/>
          <w:color w:val="C8392B"/>
          <w:sz w:val="16"/>
          <w:spacing w:val="30"/>
        </w:rPr>
        <w:t xml:space="preserve">RECORD FLAG  </w:t>
      </w:r>
      <w:r>
        <w:rPr>
          <w:rFonts w:ascii="EB Garamond" w:hAnsi="EB Garamond"/>
          <w:b/>
          <w:i w:val="0"/>
          <w:color w:val="1A1814"/>
          <w:sz w:val="22"/>
        </w:rPr>
        <w:t>Alta’s alleged $193.6–$407.3 million in lost profits depend on a chain of events that never occurred—securing financing from any of the 88 lenders it approached, constructing the plant, bringing it online before Winter Storm Uri, and operating it continuously during the storm (ROA.7589–91, 9360)—and the two lenders who came closest (Deutsche Bank and Starwood) declined for reasons including Alta’s insufficient equity, a $400,000 settlement for trade-secret/noncompete litigation, and COVID-19, not GE’s conduct (ROA.8756–59, 8776–78).</w:t>
      </w:r>
    </w:p>
    <w:p>
      <w:pPr>
        <w:keepNext w:val="0"/>
        <w:spacing w:before="0" w:after="120"/>
        <w:ind w:left="432"/>
      </w:pPr>
      <w:r>
        <w:rPr>
          <w:rFonts w:ascii="EB Garamond" w:hAnsi="EB Garamond"/>
          <w:b w:val="0"/>
          <w:i w:val="0"/>
          <w:color w:val="4A4843"/>
          <w:sz w:val="22"/>
        </w:rPr>
        <w:t>A judge may press whether Alta can establish any causal link between GE’s alleged fraud and its failure to secure financing or build the plant, since the record shows independent, non-GE-related reasons for the venture’s collapse—potentially defeating causation and damages elements of Alta’s fraud claims on remand even if the waiver issue is reversed.</w:t>
      </w:r>
    </w:p>
    <w:p>
      <w:pPr>
        <w:keepNext w:val="0"/>
        <w:spacing w:before="80" w:after="120"/>
        <w:pBdr>
          <w:bottom w:val="single" w:sz="6" w:space="1" w:color="CFC8B8"/>
        </w:pBdr>
      </w:pPr>
    </w:p>
    <w:p>
      <w:pPr>
        <w:keepNext w:val="0"/>
        <w:spacing w:before="0" w:after="60"/>
        <w:ind w:left="144"/>
      </w:pPr>
      <w:r>
        <w:rPr>
          <w:rFonts w:ascii="JetBrains Mono" w:hAnsi="JetBrains Mono"/>
          <w:b w:val="0"/>
          <w:i w:val="0"/>
          <w:color w:val="C8392B"/>
          <w:sz w:val="16"/>
          <w:spacing w:val="30"/>
        </w:rPr>
        <w:t xml:space="preserve">RECORD FLAG  </w:t>
      </w:r>
      <w:r>
        <w:rPr>
          <w:rFonts w:ascii="EB Garamond" w:hAnsi="EB Garamond"/>
          <w:b/>
          <w:i w:val="0"/>
          <w:color w:val="1A1814"/>
          <w:sz w:val="22"/>
        </w:rPr>
        <w:t>The two prior orders denying GE’s dismissal motions—the state court order (May 2021) and the bankruptcy court order (May 2022)—are single-page orders with no reasoning, which Alta relies on to suggest the same argument was ‘rejected twice’ (Alta Br. at 3, 19, 33); GE’s brief explicitly characterizes these as ‘single-page orders without any reasoning’ and argues they are ‘irrelevant and overblown.’</w:t>
      </w:r>
    </w:p>
    <w:p>
      <w:pPr>
        <w:keepNext w:val="0"/>
        <w:spacing w:before="0" w:after="60"/>
        <w:ind w:left="432"/>
      </w:pPr>
      <w:r>
        <w:rPr>
          <w:rFonts w:ascii="EB Garamond" w:hAnsi="EB Garamond"/>
          <w:b w:val="0"/>
          <w:i w:val="0"/>
          <w:color w:val="4A4843"/>
          <w:sz w:val="22"/>
        </w:rPr>
        <w:t>A judge may discount Alta’s repeated invocation of these prior rulings as persuasive authority, and may press counsel on whether those unreasoned orders have any precedential or persuasive value—potentially leaving Alta without a strong record of prior judicial endorsement of its theory.</w:t>
      </w:r>
    </w:p>
    <w:p>
      <w:pPr>
        <w:keepNext w:val="0"/>
        <w:spacing w:before="0" w:after="120"/>
        <w:ind w:left="432"/>
      </w:pPr>
      <w:r>
        <w:rPr>
          <w:rFonts w:ascii="JetBrains Mono" w:hAnsi="JetBrains Mono"/>
          <w:b w:val="0"/>
          <w:i w:val="0"/>
          <w:color w:val="B8913D"/>
          <w:sz w:val="16"/>
          <w:spacing w:val="30"/>
        </w:rPr>
        <w:t xml:space="preserve">NOT PRESERVED  </w:t>
      </w:r>
      <w:r>
        <w:rPr>
          <w:rFonts w:ascii="EB Garamond" w:hAnsi="EB Garamond"/>
          <w:b w:val="0"/>
          <w:i/>
          <w:color w:val="4A4843"/>
          <w:sz w:val="22"/>
        </w:rPr>
        <w:t>GE’s brief states: ‘Alta’s reliance (at 3, 33) on two orders denying motions to dismiss in this case is irrelevant and overblown. Both are single-page orders without any reasoning.’</w:t>
      </w:r>
    </w:p>
    <w:p>
      <w:pPr>
        <w:keepNext w:val="0"/>
        <w:spacing w:before="80" w:after="120"/>
        <w:pBdr>
          <w:bottom w:val="single" w:sz="6" w:space="1" w:color="CFC8B8"/>
        </w:pBdr>
      </w:pPr>
    </w:p>
    <w:p>
      <w:pPr>
        <w:keepNext w:val="0"/>
        <w:spacing w:before="0" w:after="60"/>
        <w:ind w:left="144"/>
      </w:pPr>
      <w:r>
        <w:rPr>
          <w:rFonts w:ascii="JetBrains Mono" w:hAnsi="JetBrains Mono"/>
          <w:b w:val="0"/>
          <w:i w:val="0"/>
          <w:color w:val="C8392B"/>
          <w:sz w:val="16"/>
          <w:spacing w:val="30"/>
        </w:rPr>
        <w:t xml:space="preserve">RECORD FLAG  </w:t>
      </w:r>
      <w:r>
        <w:rPr>
          <w:rFonts w:ascii="EB Garamond" w:hAnsi="EB Garamond"/>
          <w:b/>
          <w:i w:val="0"/>
          <w:color w:val="1A1814"/>
          <w:sz w:val="22"/>
        </w:rPr>
        <w:t>The district court dismissed Alta’s claims for direct economic damages and the $100,000 damages cap under Section 9.1(A), even though (per Alta’s brief) GE’s summary-judgment motion addressed only consequential damages and GE’s alternative position was a $100,000 cap—the court dismissed direct damages without explanation (ROA.23867).</w:t>
      </w:r>
    </w:p>
    <w:p>
      <w:pPr>
        <w:keepNext w:val="0"/>
        <w:spacing w:before="0" w:after="120"/>
        <w:ind w:left="432"/>
      </w:pPr>
      <w:r>
        <w:rPr>
          <w:rFonts w:ascii="EB Garamond" w:hAnsi="EB Garamond"/>
          <w:b w:val="0"/>
          <w:i w:val="0"/>
          <w:color w:val="4A4843"/>
          <w:sz w:val="22"/>
        </w:rPr>
        <w:t>A judge may probe whether Alta adequately preserved a separate argument below that direct (non-consequential) damages survive the waiver, and whether the dismissal of direct damages was error that can be raised on appeal—GE’s brief does not expressly argue waiver of this sub-issue, but the absence of briefing below on direct damages could be a gap.</w:t>
      </w:r>
    </w:p>
    <w:p>
      <w:pPr>
        <w:keepNext w:val="0"/>
        <w:spacing w:before="80" w:after="120"/>
        <w:pBdr>
          <w:bottom w:val="single" w:sz="6" w:space="1" w:color="CFC8B8"/>
        </w:pBdr>
      </w:pPr>
    </w:p>
    <w:p>
      <w:r>
        <w:br w:type="page"/>
      </w:r>
    </w:p>
    <w:p>
      <w:bookmarkStart w:id="3" w:name="bm_controlling"/>
      <w:pPr>
        <w:keepNext w:val="0"/>
        <w:spacing w:before="0" w:after="40"/>
      </w:pPr>
      <w:r>
        <w:rPr>
          <w:rFonts w:ascii="JetBrains Mono" w:hAnsi="JetBrains Mono"/>
          <w:b w:val="0"/>
          <w:i w:val="0"/>
          <w:color w:val="B8913D"/>
          <w:sz w:val="16"/>
          <w:spacing w:val="30"/>
        </w:rPr>
        <w:t>§ 03  —  CONTROLLING PRECEDENTS</w:t>
      </w:r>
      <w:bookmarkEnd w:id="3"/>
    </w:p>
    <w:p>
      <w:pPr>
        <w:keepNext/>
        <w:spacing w:before="240" w:after="200"/>
      </w:pPr>
      <w:r>
        <w:rPr>
          <w:rFonts w:ascii="Cormorant Garamond" w:hAnsi="Cormorant Garamond"/>
          <w:b w:val="0"/>
          <w:i w:val="0"/>
          <w:color w:val="1A1814"/>
          <w:sz w:val="44"/>
        </w:rPr>
        <w:t>Controlling Precedents</w:t>
      </w:r>
    </w:p>
    <w:p>
      <w:pPr>
        <w:keepNext w:val="0"/>
        <w:spacing w:before="0" w:after="200"/>
      </w:pPr>
      <w:r>
        <w:rPr>
          <w:rFonts w:ascii="EB Garamond" w:hAnsi="EB Garamond"/>
          <w:b w:val="0"/>
          <w:i/>
          <w:color w:val="4A4843"/>
          <w:sz w:val="22"/>
        </w:rPr>
        <w:t>Cases either party claims control the outcome, or works hardest to distinguish.</w:t>
      </w:r>
    </w:p>
    <w:p>
      <w:pPr>
        <w:keepNext w:val="0"/>
        <w:spacing w:before="200" w:after="40"/>
      </w:pPr>
      <w:r>
        <w:rPr>
          <w:rFonts w:ascii="JetBrains Mono" w:hAnsi="JetBrains Mono"/>
          <w:b w:val="0"/>
          <w:i w:val="0"/>
          <w:color w:val="C8392B"/>
          <w:sz w:val="16"/>
          <w:spacing w:val="30"/>
        </w:rPr>
        <w:t xml:space="preserve">CONTROL CLAIM  </w:t>
      </w:r>
      <w:r>
        <w:rPr>
          <w:rFonts w:ascii="JetBrains Mono" w:hAnsi="JetBrains Mono"/>
          <w:b w:val="0"/>
          <w:i w:val="0"/>
          <w:color w:val="6B6862"/>
          <w:sz w:val="16"/>
        </w:rPr>
        <w:t>Cited by Both</w:t>
      </w:r>
    </w:p>
    <w:p>
      <w:pPr>
        <w:keepNext w:val="0"/>
        <w:spacing w:before="0" w:after="60"/>
        <w:ind w:left="144"/>
      </w:pPr>
      <w:r>
        <w:rPr>
          <w:rFonts w:ascii="EB Garamond" w:hAnsi="EB Garamond"/>
          <w:b w:val="0"/>
          <w:i/>
          <w:color w:val="1A1814"/>
          <w:sz w:val="22"/>
        </w:rPr>
        <w:t>Bombardier Aerospace Corp. v. SPEP Aircraft Holdings, LLC, 572 S.W.3d 213 (Tex. 2019)</w:t>
      </w:r>
    </w:p>
    <w:p>
      <w:pPr>
        <w:keepNext w:val="0"/>
        <w:spacing w:before="0" w:after="40"/>
        <w:ind w:left="360"/>
      </w:pPr>
      <w:r>
        <w:rPr>
          <w:rFonts w:ascii="EB Garamond" w:hAnsi="EB Garamond"/>
          <w:b w:val="0"/>
          <w:i/>
          <w:color w:val="4A4843"/>
          <w:sz w:val="22"/>
        </w:rPr>
        <w:t>“The Texas Supreme Court has ‘never held . . . that fraud vitiates a limitation-of-liability clause.’ Under Bombardier, ‘claiming fraud isn’t enough to get through the waiver.’”</w:t>
      </w:r>
    </w:p>
    <w:p>
      <w:pPr>
        <w:keepNext w:val="0"/>
        <w:spacing w:before="0" w:after="40"/>
        <w:ind w:left="360"/>
      </w:pPr>
      <w:r>
        <w:rPr>
          <w:rFonts w:ascii="JetBrains Mono" w:hAnsi="JetBrains Mono"/>
          <w:b w:val="0"/>
          <w:i w:val="0"/>
          <w:color w:val="6B6862"/>
          <w:sz w:val="16"/>
        </w:rPr>
        <w:t xml:space="preserve">Opponent:  </w:t>
      </w:r>
      <w:r>
        <w:rPr>
          <w:rFonts w:ascii="EB Garamond" w:hAnsi="EB Garamond"/>
          <w:b w:val="0"/>
          <w:i w:val="0"/>
          <w:color w:val="4A4843"/>
          <w:sz w:val="22"/>
        </w:rPr>
        <w:t>Alta argues Bombardier was narrow, fact-specific, involved parties to the contract, addressed only punitive damages, and required interest-balancing the district court skipped.</w:t>
      </w:r>
    </w:p>
    <w:p>
      <w:pPr>
        <w:keepNext w:val="0"/>
        <w:spacing w:before="0" w:after="120"/>
        <w:ind w:left="360"/>
      </w:pPr>
      <w:r>
        <w:rPr>
          <w:rFonts w:ascii="JetBrains Mono" w:hAnsi="JetBrains Mono"/>
          <w:b w:val="0"/>
          <w:i w:val="0"/>
          <w:color w:val="C8392B"/>
          <w:sz w:val="16"/>
        </w:rPr>
        <w:t xml:space="preserve">For you:  </w:t>
      </w:r>
      <w:r>
        <w:rPr>
          <w:rFonts w:ascii="EB Garamond" w:hAnsi="EB Garamond"/>
          <w:b w:val="0"/>
          <w:i w:val="0"/>
          <w:color w:val="1A1814"/>
          <w:sz w:val="22"/>
        </w:rPr>
        <w:t>If the court reads Bombardier as a categorical rule blocking fraud-vitiates arguments against any limitation-of-liability clause, Alta's central fraud theory collapses entirely.</w:t>
      </w:r>
    </w:p>
    <w:p>
      <w:pPr>
        <w:keepNext w:val="0"/>
        <w:spacing w:before="120" w:after="40"/>
        <w:pBdr>
          <w:bottom w:val="single" w:sz="6" w:space="1" w:color="CFC8B8"/>
        </w:pBdr>
      </w:pPr>
    </w:p>
    <w:p>
      <w:pPr>
        <w:keepNext w:val="0"/>
        <w:spacing w:before="200" w:after="40"/>
      </w:pPr>
      <w:r>
        <w:rPr>
          <w:rFonts w:ascii="JetBrains Mono" w:hAnsi="JetBrains Mono"/>
          <w:b w:val="0"/>
          <w:i w:val="0"/>
          <w:color w:val="B8913D"/>
          <w:sz w:val="16"/>
          <w:spacing w:val="30"/>
        </w:rPr>
        <w:t xml:space="preserve">FRAMEWORK CASE  </w:t>
      </w:r>
      <w:r>
        <w:rPr>
          <w:rFonts w:ascii="JetBrains Mono" w:hAnsi="JetBrains Mono"/>
          <w:b w:val="0"/>
          <w:i w:val="0"/>
          <w:color w:val="6B6862"/>
          <w:sz w:val="16"/>
        </w:rPr>
        <w:t>Cited by Both</w:t>
      </w:r>
    </w:p>
    <w:p>
      <w:pPr>
        <w:keepNext w:val="0"/>
        <w:spacing w:before="0" w:after="60"/>
        <w:ind w:left="144"/>
      </w:pPr>
      <w:r>
        <w:rPr>
          <w:rFonts w:ascii="EB Garamond" w:hAnsi="EB Garamond"/>
          <w:b w:val="0"/>
          <w:i/>
          <w:color w:val="1A1814"/>
          <w:sz w:val="22"/>
        </w:rPr>
        <w:t>Italian Cowboy Partners, Ltd. v. Prudential Ins. Co. of Am., 341 S.W.3d 323 (Tex. 2011)</w:t>
      </w:r>
    </w:p>
    <w:p>
      <w:pPr>
        <w:keepNext w:val="0"/>
        <w:spacing w:before="0" w:after="40"/>
        <w:ind w:left="360"/>
      </w:pPr>
      <w:r>
        <w:rPr>
          <w:rFonts w:ascii="EB Garamond" w:hAnsi="EB Garamond"/>
          <w:b w:val="0"/>
          <w:i/>
          <w:color w:val="4A4843"/>
          <w:sz w:val="22"/>
        </w:rPr>
        <w:t>“Under Italian Cowboy, a waiver must be ‘clear, specific, and unequivocal’ to defeat a fraud claim, and where an agreement is ‘the initiation of a business relationship’ the bar is even higher.”</w:t>
      </w:r>
    </w:p>
    <w:p>
      <w:pPr>
        <w:keepNext w:val="0"/>
        <w:spacing w:before="0" w:after="40"/>
        <w:ind w:left="360"/>
      </w:pPr>
      <w:r>
        <w:rPr>
          <w:rFonts w:ascii="JetBrains Mono" w:hAnsi="JetBrains Mono"/>
          <w:b w:val="0"/>
          <w:i w:val="0"/>
          <w:color w:val="6B6862"/>
          <w:sz w:val="16"/>
        </w:rPr>
        <w:t xml:space="preserve">Opponent:  </w:t>
      </w:r>
      <w:r>
        <w:rPr>
          <w:rFonts w:ascii="EB Garamond" w:hAnsi="EB Garamond"/>
          <w:b w:val="0"/>
          <w:i w:val="0"/>
          <w:color w:val="4A4843"/>
          <w:sz w:val="22"/>
        </w:rPr>
        <w:t>GE dismisses Italian Cowboy as a disclaimer-of-reliance case inapplicable to consequential-damages waivers, calling Alta's reliance on it 'misplaced.'</w:t>
      </w:r>
    </w:p>
    <w:p>
      <w:pPr>
        <w:keepNext w:val="0"/>
        <w:spacing w:before="0" w:after="120"/>
        <w:ind w:left="360"/>
      </w:pPr>
      <w:r>
        <w:rPr>
          <w:rFonts w:ascii="JetBrains Mono" w:hAnsi="JetBrains Mono"/>
          <w:b w:val="0"/>
          <w:i w:val="0"/>
          <w:color w:val="C8392B"/>
          <w:sz w:val="16"/>
        </w:rPr>
        <w:t xml:space="preserve">For you:  </w:t>
      </w:r>
      <w:r>
        <w:rPr>
          <w:rFonts w:ascii="EB Garamond" w:hAnsi="EB Garamond"/>
          <w:b w:val="0"/>
          <w:i w:val="0"/>
          <w:color w:val="1A1814"/>
          <w:sz w:val="22"/>
        </w:rPr>
        <w:t>If the court agrees Italian Cowboy's framework applies only to reliance disclaimers and not damages waivers, Alta loses its primary vehicle for demanding heightened scrutiny of the waiver.</w:t>
      </w:r>
    </w:p>
    <w:p>
      <w:pPr>
        <w:keepNext w:val="0"/>
        <w:spacing w:before="120" w:after="40"/>
        <w:pBdr>
          <w:bottom w:val="single" w:sz="6" w:space="1" w:color="CFC8B8"/>
        </w:pBdr>
      </w:pPr>
    </w:p>
    <w:p>
      <w:pPr>
        <w:keepNext w:val="0"/>
        <w:spacing w:before="200" w:after="40"/>
      </w:pPr>
      <w:r>
        <w:rPr>
          <w:rFonts w:ascii="JetBrains Mono" w:hAnsi="JetBrains Mono"/>
          <w:b w:val="0"/>
          <w:i w:val="0"/>
          <w:color w:val="B8913D"/>
          <w:sz w:val="16"/>
          <w:spacing w:val="30"/>
        </w:rPr>
        <w:t xml:space="preserve">DISTINGUISH-OR-DIE  </w:t>
      </w:r>
      <w:r>
        <w:rPr>
          <w:rFonts w:ascii="JetBrains Mono" w:hAnsi="JetBrains Mono"/>
          <w:b w:val="0"/>
          <w:i w:val="0"/>
          <w:color w:val="6B6862"/>
          <w:sz w:val="16"/>
        </w:rPr>
        <w:t>Cited by Both</w:t>
      </w:r>
    </w:p>
    <w:p>
      <w:pPr>
        <w:keepNext w:val="0"/>
        <w:spacing w:before="0" w:after="60"/>
        <w:ind w:left="144"/>
      </w:pPr>
      <w:r>
        <w:rPr>
          <w:rFonts w:ascii="EB Garamond" w:hAnsi="EB Garamond"/>
          <w:b w:val="0"/>
          <w:i/>
          <w:color w:val="1A1814"/>
          <w:sz w:val="22"/>
        </w:rPr>
        <w:t>Finley Resources, Inc. v. Headington Royalty, Inc., 672 S.W.3d 332 (Tex. 2023)</w:t>
      </w:r>
    </w:p>
    <w:p>
      <w:pPr>
        <w:keepNext w:val="0"/>
        <w:spacing w:before="0" w:after="40"/>
        <w:ind w:left="360"/>
      </w:pPr>
      <w:r>
        <w:rPr>
          <w:rFonts w:ascii="EB Garamond" w:hAnsi="EB Garamond"/>
          <w:b w:val="0"/>
          <w:i/>
          <w:color w:val="4A4843"/>
          <w:sz w:val="22"/>
        </w:rPr>
        <w:t>“Alta argues Finley shows that class terms like ‘subcontractors’ must be read in context of the party’s connection to the contract, limiting GE’s capacity to invoke the waiver.”</w:t>
      </w:r>
    </w:p>
    <w:p>
      <w:pPr>
        <w:keepNext w:val="0"/>
        <w:spacing w:before="0" w:after="40"/>
        <w:ind w:left="360"/>
      </w:pPr>
      <w:r>
        <w:rPr>
          <w:rFonts w:ascii="JetBrains Mono" w:hAnsi="JetBrains Mono"/>
          <w:b w:val="0"/>
          <w:i w:val="0"/>
          <w:color w:val="6B6862"/>
          <w:sz w:val="16"/>
        </w:rPr>
        <w:t xml:space="preserve">Opponent:  </w:t>
      </w:r>
      <w:r>
        <w:rPr>
          <w:rFonts w:ascii="EB Garamond" w:hAnsi="EB Garamond"/>
          <w:b w:val="0"/>
          <w:i w:val="0"/>
          <w:color w:val="4A4843"/>
          <w:sz w:val="22"/>
        </w:rPr>
        <w:t>GE argues Finley addressed ambiguous term 'predecessor' in a deed and is inapplicable here because 'subcontractor' is unambiguous and GE's status is undisputed.</w:t>
      </w:r>
    </w:p>
    <w:p>
      <w:pPr>
        <w:keepNext w:val="0"/>
        <w:spacing w:before="0" w:after="120"/>
        <w:ind w:left="360"/>
      </w:pPr>
      <w:r>
        <w:rPr>
          <w:rFonts w:ascii="JetBrains Mono" w:hAnsi="JetBrains Mono"/>
          <w:b w:val="0"/>
          <w:i w:val="0"/>
          <w:color w:val="C8392B"/>
          <w:sz w:val="16"/>
        </w:rPr>
        <w:t xml:space="preserve">For you:  </w:t>
      </w:r>
      <w:r>
        <w:rPr>
          <w:rFonts w:ascii="EB Garamond" w:hAnsi="EB Garamond"/>
          <w:b w:val="0"/>
          <w:i w:val="0"/>
          <w:color w:val="1A1814"/>
          <w:sz w:val="22"/>
        </w:rPr>
        <w:t>If the court agrees Finley is distinguishable on ambiguity grounds, Alta loses its best textual argument that the waiver covers only conduct performed in a subcontractor capacity.</w:t>
      </w:r>
    </w:p>
    <w:p>
      <w:pPr>
        <w:keepNext w:val="0"/>
        <w:spacing w:before="120" w:after="40"/>
        <w:pBdr>
          <w:bottom w:val="single" w:sz="6" w:space="1" w:color="CFC8B8"/>
        </w:pBdr>
      </w:pPr>
    </w:p>
    <w:p>
      <w:pPr>
        <w:keepNext w:val="0"/>
        <w:spacing w:before="200" w:after="40"/>
      </w:pPr>
      <w:r>
        <w:rPr>
          <w:rFonts w:ascii="JetBrains Mono" w:hAnsi="JetBrains Mono"/>
          <w:b w:val="0"/>
          <w:i w:val="0"/>
          <w:color w:val="B8913D"/>
          <w:sz w:val="16"/>
          <w:spacing w:val="30"/>
        </w:rPr>
        <w:t xml:space="preserve">FRAMEWORK CASE  </w:t>
      </w:r>
      <w:r>
        <w:rPr>
          <w:rFonts w:ascii="JetBrains Mono" w:hAnsi="JetBrains Mono"/>
          <w:b w:val="0"/>
          <w:i w:val="0"/>
          <w:color w:val="6B6862"/>
          <w:sz w:val="16"/>
        </w:rPr>
        <w:t>Cited by Appellant</w:t>
      </w:r>
    </w:p>
    <w:p>
      <w:pPr>
        <w:keepNext w:val="0"/>
        <w:spacing w:before="0" w:after="60"/>
        <w:ind w:left="144"/>
      </w:pPr>
      <w:r>
        <w:rPr>
          <w:rFonts w:ascii="EB Garamond" w:hAnsi="EB Garamond"/>
          <w:b w:val="0"/>
          <w:i/>
          <w:color w:val="1A1814"/>
          <w:sz w:val="22"/>
        </w:rPr>
        <w:t>Zachry Construction Corp. v. Port of Houston Authority of Harris County, 449 S.W.3d 98 (Tex. 2014)</w:t>
      </w:r>
    </w:p>
    <w:p>
      <w:pPr>
        <w:keepNext w:val="0"/>
        <w:spacing w:before="0" w:after="40"/>
        <w:ind w:left="360"/>
      </w:pPr>
      <w:r>
        <w:rPr>
          <w:rFonts w:ascii="EB Garamond" w:hAnsi="EB Garamond"/>
          <w:b w:val="0"/>
          <w:i/>
          <w:color w:val="4A4843"/>
          <w:sz w:val="22"/>
        </w:rPr>
        <w:t>“Under Zachry, ‘a contractual provision exempting a party from tort liability for harm caused intentionally or recklessly is unenforceable on grounds of public policy,’ as recognized in ‘at least 28 American jurisdictions.’”</w:t>
      </w:r>
    </w:p>
    <w:p>
      <w:pPr>
        <w:keepNext w:val="0"/>
        <w:spacing w:before="0" w:after="40"/>
        <w:ind w:left="360"/>
      </w:pPr>
      <w:r>
        <w:rPr>
          <w:rFonts w:ascii="JetBrains Mono" w:hAnsi="JetBrains Mono"/>
          <w:b w:val="0"/>
          <w:i w:val="0"/>
          <w:color w:val="6B6862"/>
          <w:sz w:val="16"/>
        </w:rPr>
        <w:t xml:space="preserve">Opponent:  </w:t>
      </w:r>
      <w:r>
        <w:rPr>
          <w:rFonts w:ascii="EB Garamond" w:hAnsi="EB Garamond"/>
          <w:b w:val="0"/>
          <w:i w:val="0"/>
          <w:color w:val="4A4843"/>
          <w:sz w:val="22"/>
        </w:rPr>
        <w:t>GE argues Zachry addressed pre-injury waivers of future liability held unenforceable as public policy, a different scenario from the consequential-damages waiver here.</w:t>
      </w:r>
    </w:p>
    <w:p>
      <w:pPr>
        <w:keepNext w:val="0"/>
        <w:spacing w:before="0" w:after="120"/>
        <w:ind w:left="360"/>
      </w:pPr>
      <w:r>
        <w:rPr>
          <w:rFonts w:ascii="JetBrains Mono" w:hAnsi="JetBrains Mono"/>
          <w:b w:val="0"/>
          <w:i w:val="0"/>
          <w:color w:val="C8392B"/>
          <w:sz w:val="16"/>
        </w:rPr>
        <w:t xml:space="preserve">For you:  </w:t>
      </w:r>
      <w:r>
        <w:rPr>
          <w:rFonts w:ascii="EB Garamond" w:hAnsi="EB Garamond"/>
          <w:b w:val="0"/>
          <w:i w:val="0"/>
          <w:color w:val="1A1814"/>
          <w:sz w:val="22"/>
        </w:rPr>
        <w:t>If the court distinguishes Zachry as limited to pre-injury liability waivers rather than damages-scope limitations, Alta's intentional-tort carveout argument fails on its strongest precedential support.</w:t>
      </w:r>
    </w:p>
    <w:p>
      <w:pPr>
        <w:keepNext w:val="0"/>
        <w:spacing w:before="120" w:after="40"/>
        <w:pBdr>
          <w:bottom w:val="single" w:sz="6" w:space="1" w:color="CFC8B8"/>
        </w:pBdr>
      </w:pPr>
    </w:p>
    <w:p>
      <w:pPr>
        <w:keepNext w:val="0"/>
        <w:spacing w:before="200" w:after="40"/>
      </w:pPr>
      <w:r>
        <w:rPr>
          <w:rFonts w:ascii="JetBrains Mono" w:hAnsi="JetBrains Mono"/>
          <w:b w:val="0"/>
          <w:i w:val="0"/>
          <w:color w:val="C8392B"/>
          <w:sz w:val="16"/>
          <w:spacing w:val="30"/>
        </w:rPr>
        <w:t xml:space="preserve">CONTROL CLAIM  </w:t>
      </w:r>
      <w:r>
        <w:rPr>
          <w:rFonts w:ascii="JetBrains Mono" w:hAnsi="JetBrains Mono"/>
          <w:b w:val="0"/>
          <w:i w:val="0"/>
          <w:color w:val="6B6862"/>
          <w:sz w:val="16"/>
        </w:rPr>
        <w:t>Cited by Appellee</w:t>
      </w:r>
    </w:p>
    <w:p>
      <w:pPr>
        <w:keepNext w:val="0"/>
        <w:spacing w:before="0" w:after="60"/>
        <w:ind w:left="144"/>
      </w:pPr>
      <w:r>
        <w:rPr>
          <w:rFonts w:ascii="EB Garamond" w:hAnsi="EB Garamond"/>
          <w:b w:val="0"/>
          <w:i/>
          <w:color w:val="1A1814"/>
          <w:sz w:val="22"/>
        </w:rPr>
        <w:t>American Midstream (Ala. Intrastate), LLC v. Rainbow Energy Marketing Corp., 714 S.W.3d 572 (Tex. 2025)</w:t>
      </w:r>
    </w:p>
    <w:p>
      <w:pPr>
        <w:keepNext w:val="0"/>
        <w:spacing w:before="0" w:after="40"/>
        <w:ind w:left="360"/>
      </w:pPr>
      <w:r>
        <w:rPr>
          <w:rFonts w:ascii="EB Garamond" w:hAnsi="EB Garamond"/>
          <w:b w:val="0"/>
          <w:i/>
          <w:color w:val="4A4843"/>
          <w:sz w:val="22"/>
        </w:rPr>
        <w:t>“GE asserts ‘American Midstream is on all fours with this case’—Alta’s peaker-plant project was an ‘untested venture’ and its lost-profits model is ‘too speculative’ under Texas law.”</w:t>
      </w:r>
    </w:p>
    <w:p>
      <w:pPr>
        <w:keepNext w:val="0"/>
        <w:spacing w:before="0" w:after="40"/>
        <w:ind w:left="360"/>
      </w:pPr>
      <w:r>
        <w:rPr>
          <w:rFonts w:ascii="JetBrains Mono" w:hAnsi="JetBrains Mono"/>
          <w:b w:val="0"/>
          <w:i w:val="0"/>
          <w:color w:val="6B6862"/>
          <w:sz w:val="16"/>
        </w:rPr>
        <w:t xml:space="preserve">Opponent:  </w:t>
      </w:r>
      <w:r>
        <w:rPr>
          <w:rFonts w:ascii="EB Garamond" w:hAnsi="EB Garamond"/>
          <w:b w:val="0"/>
          <w:i w:val="0"/>
          <w:color w:val="4A4843"/>
          <w:sz w:val="22"/>
        </w:rPr>
        <w:t>Alta does not substantively address American Midstream in its opening brief, leaving this argument largely unanswered at the time of briefing.</w:t>
      </w:r>
    </w:p>
    <w:p>
      <w:pPr>
        <w:keepNext w:val="0"/>
        <w:spacing w:before="0" w:after="120"/>
        <w:ind w:left="360"/>
      </w:pPr>
      <w:r>
        <w:rPr>
          <w:rFonts w:ascii="JetBrains Mono" w:hAnsi="JetBrains Mono"/>
          <w:b w:val="0"/>
          <w:i w:val="0"/>
          <w:color w:val="C8392B"/>
          <w:sz w:val="16"/>
        </w:rPr>
        <w:t xml:space="preserve">For you:  </w:t>
      </w:r>
      <w:r>
        <w:rPr>
          <w:rFonts w:ascii="EB Garamond" w:hAnsi="EB Garamond"/>
          <w:b w:val="0"/>
          <w:i w:val="0"/>
          <w:color w:val="1A1814"/>
          <w:sz w:val="22"/>
        </w:rPr>
        <w:t>If the court reaches the speculative-damages issue, American Midstream's direct factual parallel to untested ventures dependent on market volatility could independently doom Alta's $400 million lost-profits claim.</w:t>
      </w:r>
    </w:p>
    <w:p>
      <w:pPr>
        <w:keepNext w:val="0"/>
        <w:spacing w:before="120" w:after="40"/>
        <w:pBdr>
          <w:bottom w:val="single" w:sz="6" w:space="1" w:color="CFC8B8"/>
        </w:pBdr>
      </w:pPr>
    </w:p>
    <w:p>
      <w:pPr>
        <w:keepNext w:val="0"/>
        <w:spacing w:before="200" w:after="40"/>
      </w:pPr>
      <w:r>
        <w:rPr>
          <w:rFonts w:ascii="JetBrains Mono" w:hAnsi="JetBrains Mono"/>
          <w:b w:val="0"/>
          <w:i w:val="0"/>
          <w:color w:val="B8913D"/>
          <w:sz w:val="16"/>
          <w:spacing w:val="30"/>
        </w:rPr>
        <w:t xml:space="preserve">DISTINGUISH-OR-DIE  </w:t>
      </w:r>
      <w:r>
        <w:rPr>
          <w:rFonts w:ascii="JetBrains Mono" w:hAnsi="JetBrains Mono"/>
          <w:b w:val="0"/>
          <w:i w:val="0"/>
          <w:color w:val="6B6862"/>
          <w:sz w:val="16"/>
        </w:rPr>
        <w:t>Cited by Both</w:t>
      </w:r>
    </w:p>
    <w:p>
      <w:pPr>
        <w:keepNext w:val="0"/>
        <w:spacing w:before="0" w:after="60"/>
        <w:ind w:left="144"/>
      </w:pPr>
      <w:r>
        <w:rPr>
          <w:rFonts w:ascii="EB Garamond" w:hAnsi="EB Garamond"/>
          <w:b w:val="0"/>
          <w:i/>
          <w:color w:val="1A1814"/>
          <w:sz w:val="22"/>
        </w:rPr>
        <w:t>Hooks v. Samson Lone Star, Ltd. Partnership, 457 S.W.3d 52 (Tex. 2015)</w:t>
      </w:r>
    </w:p>
    <w:p>
      <w:pPr>
        <w:keepNext w:val="0"/>
        <w:spacing w:before="0" w:after="40"/>
        <w:ind w:left="360"/>
      </w:pPr>
      <w:r>
        <w:rPr>
          <w:rFonts w:ascii="EB Garamond" w:hAnsi="EB Garamond"/>
          <w:b w:val="0"/>
          <w:i/>
          <w:color w:val="4A4843"/>
          <w:sz w:val="22"/>
        </w:rPr>
        <w:t>“Alta invokes Hooks for the bedrock Texas rule that ‘fraud vitiates whatever it touches,’ arguing the district court abandoned nearly two centuries of jurisprudence.”</w:t>
      </w:r>
    </w:p>
    <w:p>
      <w:pPr>
        <w:keepNext w:val="0"/>
        <w:spacing w:before="0" w:after="40"/>
        <w:ind w:left="360"/>
      </w:pPr>
      <w:r>
        <w:rPr>
          <w:rFonts w:ascii="JetBrains Mono" w:hAnsi="JetBrains Mono"/>
          <w:b w:val="0"/>
          <w:i w:val="0"/>
          <w:color w:val="6B6862"/>
          <w:sz w:val="16"/>
        </w:rPr>
        <w:t xml:space="preserve">Opponent:  </w:t>
      </w:r>
      <w:r>
        <w:rPr>
          <w:rFonts w:ascii="EB Garamond" w:hAnsi="EB Garamond"/>
          <w:b w:val="0"/>
          <w:i w:val="0"/>
          <w:color w:val="4A4843"/>
          <w:sz w:val="22"/>
        </w:rPr>
        <w:t>GE dismisses Hooks and similar cases as 'beside the point' because Bombardier supersedes the general fraud-vitiates rule in the limitation-of-liability context.</w:t>
      </w:r>
    </w:p>
    <w:p>
      <w:pPr>
        <w:keepNext w:val="0"/>
        <w:spacing w:before="0" w:after="120"/>
        <w:ind w:left="360"/>
      </w:pPr>
      <w:r>
        <w:rPr>
          <w:rFonts w:ascii="JetBrains Mono" w:hAnsi="JetBrains Mono"/>
          <w:b w:val="0"/>
          <w:i w:val="0"/>
          <w:color w:val="C8392B"/>
          <w:sz w:val="16"/>
        </w:rPr>
        <w:t xml:space="preserve">For you:  </w:t>
      </w:r>
      <w:r>
        <w:rPr>
          <w:rFonts w:ascii="EB Garamond" w:hAnsi="EB Garamond"/>
          <w:b w:val="0"/>
          <w:i w:val="0"/>
          <w:color w:val="1A1814"/>
          <w:sz w:val="22"/>
        </w:rPr>
        <w:t>If Bombardier is read to categorically displace the fraud-vitiates principle for damages waivers, Alta's reliance on Hooks and the broader Texas fraud doctrine provides no shelter.</w:t>
      </w:r>
    </w:p>
    <w:p>
      <w:pPr>
        <w:keepNext w:val="0"/>
        <w:spacing w:before="120" w:after="40"/>
        <w:pBdr>
          <w:bottom w:val="single" w:sz="6" w:space="1" w:color="CFC8B8"/>
        </w:pBdr>
      </w:pPr>
    </w:p>
    <w:p>
      <w:pPr>
        <w:keepNext w:val="0"/>
        <w:spacing w:before="200" w:after="40"/>
      </w:pPr>
      <w:r>
        <w:rPr>
          <w:rFonts w:ascii="JetBrains Mono" w:hAnsi="JetBrains Mono"/>
          <w:b w:val="0"/>
          <w:i w:val="0"/>
          <w:color w:val="B8913D"/>
          <w:sz w:val="16"/>
          <w:spacing w:val="30"/>
        </w:rPr>
        <w:t xml:space="preserve">FRAMEWORK CASE  </w:t>
      </w:r>
      <w:r>
        <w:rPr>
          <w:rFonts w:ascii="JetBrains Mono" w:hAnsi="JetBrains Mono"/>
          <w:b w:val="0"/>
          <w:i w:val="0"/>
          <w:color w:val="6B6862"/>
          <w:sz w:val="16"/>
        </w:rPr>
        <w:t>Cited by Appellee</w:t>
      </w:r>
    </w:p>
    <w:p>
      <w:pPr>
        <w:keepNext w:val="0"/>
        <w:spacing w:before="0" w:after="60"/>
        <w:ind w:left="144"/>
      </w:pPr>
      <w:r>
        <w:rPr>
          <w:rFonts w:ascii="EB Garamond" w:hAnsi="EB Garamond"/>
          <w:b w:val="0"/>
          <w:i/>
          <w:color w:val="1A1814"/>
          <w:sz w:val="22"/>
        </w:rPr>
        <w:t>Baylor University v. Sonnichsen, 221 S.W.3d 632 (Tex. 2007)</w:t>
      </w:r>
    </w:p>
    <w:p>
      <w:pPr>
        <w:keepNext w:val="0"/>
        <w:spacing w:before="0" w:after="40"/>
        <w:ind w:left="360"/>
      </w:pPr>
      <w:r>
        <w:rPr>
          <w:rFonts w:ascii="EB Garamond" w:hAnsi="EB Garamond"/>
          <w:b w:val="0"/>
          <w:i/>
          <w:color w:val="4A4843"/>
          <w:sz w:val="22"/>
        </w:rPr>
        <w:t>“GE argues Sonnichsen requires courts to ‘focus the legal treatment of claims on the true nature of disputes rather than allow artful pleading to morph contract claims into fraud causes of action.’”</w:t>
      </w:r>
    </w:p>
    <w:p>
      <w:pPr>
        <w:keepNext w:val="0"/>
        <w:spacing w:before="0" w:after="40"/>
        <w:ind w:left="360"/>
      </w:pPr>
      <w:r>
        <w:rPr>
          <w:rFonts w:ascii="JetBrains Mono" w:hAnsi="JetBrains Mono"/>
          <w:b w:val="0"/>
          <w:i w:val="0"/>
          <w:color w:val="6B6862"/>
          <w:sz w:val="16"/>
        </w:rPr>
        <w:t xml:space="preserve">Opponent:  </w:t>
      </w:r>
      <w:r>
        <w:rPr>
          <w:rFonts w:ascii="EB Garamond" w:hAnsi="EB Garamond"/>
          <w:b w:val="0"/>
          <w:i w:val="0"/>
          <w:color w:val="4A4843"/>
          <w:sz w:val="22"/>
        </w:rPr>
        <w:t>Alta does not directly address Sonnichsen in its opening brief, leaving unchallenged GE's argument that fraud repackaging cannot circumvent the statute of frauds.</w:t>
      </w:r>
    </w:p>
    <w:p>
      <w:pPr>
        <w:keepNext w:val="0"/>
        <w:spacing w:before="0" w:after="120"/>
        <w:ind w:left="360"/>
      </w:pPr>
      <w:r>
        <w:rPr>
          <w:rFonts w:ascii="JetBrains Mono" w:hAnsi="JetBrains Mono"/>
          <w:b w:val="0"/>
          <w:i w:val="0"/>
          <w:color w:val="C8392B"/>
          <w:sz w:val="16"/>
        </w:rPr>
        <w:t xml:space="preserve">For you:  </w:t>
      </w:r>
      <w:r>
        <w:rPr>
          <w:rFonts w:ascii="EB Garamond" w:hAnsi="EB Garamond"/>
          <w:b w:val="0"/>
          <w:i w:val="0"/>
          <w:color w:val="1A1814"/>
          <w:sz w:val="22"/>
        </w:rPr>
        <w:t>If the court applies Sonnichsen to find Alta's fraud claims are repackaged oral-contract claims barred by the statute of frauds, Alta's entire damages theory is cut off at an additional independent ground.</w:t>
      </w:r>
    </w:p>
    <w:p>
      <w:pPr>
        <w:keepNext w:val="0"/>
        <w:spacing w:before="120" w:after="40"/>
        <w:pBdr>
          <w:bottom w:val="single" w:sz="6" w:space="1" w:color="CFC8B8"/>
        </w:pBdr>
      </w:pPr>
    </w:p>
    <w:p>
      <w:r>
        <w:br w:type="page"/>
      </w:r>
    </w:p>
    <w:p>
      <w:bookmarkStart w:id="4" w:name="bm_panel"/>
      <w:pPr>
        <w:keepNext w:val="0"/>
        <w:spacing w:before="0" w:after="40"/>
      </w:pPr>
      <w:r>
        <w:rPr>
          <w:rFonts w:ascii="JetBrains Mono" w:hAnsi="JetBrains Mono"/>
          <w:b w:val="0"/>
          <w:i w:val="0"/>
          <w:color w:val="B8913D"/>
          <w:sz w:val="16"/>
          <w:spacing w:val="30"/>
        </w:rPr>
        <w:t>§ 04  —  PANEL OVERVIEW</w:t>
      </w:r>
      <w:bookmarkEnd w:id="4"/>
    </w:p>
    <w:p>
      <w:pPr>
        <w:keepNext/>
        <w:spacing w:before="240" w:after="200"/>
      </w:pPr>
      <w:r>
        <w:rPr>
          <w:rFonts w:ascii="Cormorant Garamond" w:hAnsi="Cormorant Garamond"/>
          <w:b w:val="0"/>
          <w:i w:val="0"/>
          <w:color w:val="1A1814"/>
          <w:sz w:val="44"/>
        </w:rPr>
        <w:t>Panel Overview</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QUESTIONING VOLUME</w:t>
      </w:r>
    </w:p>
    <w:p>
      <w:pPr>
        <w:keepNext/>
        <w:spacing w:before="280" w:after="120"/>
      </w:pPr>
      <w:r>
        <w:rPr>
          <w:rFonts w:ascii="Cormorant Garamond" w:hAnsi="Cormorant Garamond"/>
          <w:b w:val="0"/>
          <w:i w:val="0"/>
          <w:color w:val="1A1814"/>
          <w:sz w:val="32"/>
        </w:rPr>
        <w:t>Panel at a Glance</w:t>
      </w:r>
    </w:p>
    <w:p>
      <w:pPr>
        <w:keepNext w:val="0"/>
        <w:spacing w:before="0" w:after="80"/>
      </w:pPr>
      <w:r>
        <w:rPr>
          <w:rFonts w:ascii="JetBrains Mono" w:hAnsi="JetBrains Mono"/>
          <w:b w:val="0"/>
          <w:i w:val="0"/>
          <w:color w:val="6B6862"/>
          <w:sz w:val="18"/>
        </w:rPr>
        <w:t>All Fifth Circuit panels  ·  50 cases in dataset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4680"/>
        <w:gridCol w:w="4680"/>
      </w:tblGrid>
      <w:tr>
        <w:tc>
          <w:tcPr>
            <w:tcW w:type="dxa" w:w="4680"/>
            <w:shd w:val="clear" w:color="auto" w:fill="1A1814"/>
          </w:tcPr>
          <w:p>
            <w:pPr>
              <w:spacing w:before="80" w:after="80"/>
            </w:pPr>
            <w:r>
              <w:rPr>
                <w:rFonts w:ascii="JetBrains Mono" w:hAnsi="JetBrains Mono"/>
                <w:b w:val="0"/>
                <w:i w:val="0"/>
                <w:color w:val="FBF8F1"/>
                <w:sz w:val="16"/>
              </w:rPr>
              <w:t>SUBJECT MATTER</w:t>
            </w:r>
          </w:p>
        </w:tc>
        <w:tc>
          <w:tcPr>
            <w:tcW w:type="dxa" w:w="4680"/>
            <w:shd w:val="clear" w:color="auto" w:fill="1A1814"/>
          </w:tcPr>
          <w:p>
            <w:pPr>
              <w:spacing w:before="80" w:after="80"/>
            </w:pPr>
            <w:r>
              <w:rPr>
                <w:rFonts w:ascii="JetBrains Mono" w:hAnsi="JetBrains Mono"/>
                <w:b w:val="0"/>
                <w:i w:val="0"/>
                <w:color w:val="FBF8F1"/>
                <w:sz w:val="16"/>
              </w:rPr>
              <w:t>MEDIAN QUESTIONS / ARGUMENT</w:t>
            </w:r>
          </w:p>
        </w:tc>
      </w:tr>
      <w:tr>
        <w:tc>
          <w:tcPr>
            <w:tcW w:type="dxa" w:w="4680"/>
            <w:shd w:val="clear" w:color="auto" w:fill="F4EFE2"/>
          </w:tcPr>
          <w:p>
            <w:pPr>
              <w:spacing w:before="60" w:after="60"/>
            </w:pPr>
            <w:r>
              <w:rPr>
                <w:rFonts w:ascii="JetBrains Mono" w:hAnsi="JetBrains Mono"/>
                <w:b w:val="0"/>
                <w:i w:val="0"/>
                <w:color w:val="6B6862"/>
                <w:sz w:val="18"/>
              </w:rPr>
              <w:t>All cases (50 cases)</w:t>
            </w:r>
          </w:p>
        </w:tc>
        <w:tc>
          <w:tcPr>
            <w:tcW w:type="dxa" w:w="4680"/>
            <w:shd w:val="clear" w:color="auto" w:fill="F4EFE2"/>
          </w:tcPr>
          <w:p>
            <w:pPr>
              <w:spacing w:before="60" w:after="60"/>
            </w:pPr>
            <w:r>
              <w:rPr>
                <w:rFonts w:ascii="JetBrains Mono" w:hAnsi="JetBrains Mono"/>
                <w:b w:val="0"/>
                <w:i w:val="0"/>
                <w:color w:val="4A4843"/>
                <w:sz w:val="18"/>
              </w:rPr>
              <w:t>17.0</w:t>
            </w:r>
          </w:p>
        </w:tc>
      </w:tr>
      <w:tr>
        <w:tc>
          <w:tcPr>
            <w:tcW w:type="dxa" w:w="4680"/>
            <w:shd w:val="clear" w:color="auto" w:fill="F4EFE2"/>
          </w:tcPr>
          <w:p>
            <w:pPr>
              <w:spacing w:before="60" w:after="60"/>
            </w:pPr>
            <w:r>
              <w:rPr>
                <w:rFonts w:ascii="JetBrains Mono" w:hAnsi="JetBrains Mono"/>
                <w:b w:val="0"/>
                <w:i w:val="0"/>
                <w:color w:val="6B6862"/>
                <w:sz w:val="18"/>
              </w:rPr>
              <w:t xml:space="preserve">  Ip (1 cases)</w:t>
            </w:r>
          </w:p>
        </w:tc>
        <w:tc>
          <w:tcPr>
            <w:tcW w:type="dxa" w:w="4680"/>
            <w:shd w:val="clear" w:color="auto" w:fill="F4EFE2"/>
          </w:tcPr>
          <w:p>
            <w:pPr>
              <w:spacing w:before="60" w:after="60"/>
            </w:pPr>
            <w:r>
              <w:rPr>
                <w:rFonts w:ascii="JetBrains Mono" w:hAnsi="JetBrains Mono"/>
                <w:b w:val="0"/>
                <w:i w:val="0"/>
                <w:color w:val="4A4843"/>
                <w:sz w:val="18"/>
              </w:rPr>
              <w:t>49</w:t>
            </w:r>
          </w:p>
        </w:tc>
      </w:tr>
      <w:tr>
        <w:tc>
          <w:tcPr>
            <w:tcW w:type="dxa" w:w="4680"/>
            <w:shd w:val="clear" w:color="auto" w:fill="F4EFE2"/>
          </w:tcPr>
          <w:p>
            <w:pPr>
              <w:spacing w:before="60" w:after="60"/>
            </w:pPr>
            <w:r>
              <w:rPr>
                <w:rFonts w:ascii="JetBrains Mono" w:hAnsi="JetBrains Mono"/>
                <w:b w:val="0"/>
                <w:i w:val="0"/>
                <w:color w:val="6B6862"/>
                <w:sz w:val="18"/>
              </w:rPr>
              <w:t xml:space="preserve">  Erisa (3 cases)</w:t>
            </w:r>
          </w:p>
        </w:tc>
        <w:tc>
          <w:tcPr>
            <w:tcW w:type="dxa" w:w="4680"/>
            <w:shd w:val="clear" w:color="auto" w:fill="F4EFE2"/>
          </w:tcPr>
          <w:p>
            <w:pPr>
              <w:spacing w:before="60" w:after="60"/>
            </w:pPr>
            <w:r>
              <w:rPr>
                <w:rFonts w:ascii="JetBrains Mono" w:hAnsi="JetBrains Mono"/>
                <w:b w:val="0"/>
                <w:i w:val="0"/>
                <w:color w:val="4A4843"/>
                <w:sz w:val="18"/>
              </w:rPr>
              <w:t>27</w:t>
            </w:r>
          </w:p>
        </w:tc>
      </w:tr>
      <w:tr>
        <w:tc>
          <w:tcPr>
            <w:tcW w:type="dxa" w:w="4680"/>
            <w:shd w:val="clear" w:color="auto" w:fill="F4EFE2"/>
          </w:tcPr>
          <w:p>
            <w:pPr>
              <w:spacing w:before="60" w:after="60"/>
            </w:pPr>
            <w:r>
              <w:rPr>
                <w:rFonts w:ascii="JetBrains Mono" w:hAnsi="JetBrains Mono"/>
                <w:b w:val="0"/>
                <w:i w:val="0"/>
                <w:color w:val="6B6862"/>
                <w:sz w:val="18"/>
              </w:rPr>
              <w:t xml:space="preserve">  Securities (1 cases)</w:t>
            </w:r>
          </w:p>
        </w:tc>
        <w:tc>
          <w:tcPr>
            <w:tcW w:type="dxa" w:w="4680"/>
            <w:shd w:val="clear" w:color="auto" w:fill="F4EFE2"/>
          </w:tcPr>
          <w:p>
            <w:pPr>
              <w:spacing w:before="60" w:after="60"/>
            </w:pPr>
            <w:r>
              <w:rPr>
                <w:rFonts w:ascii="JetBrains Mono" w:hAnsi="JetBrains Mono"/>
                <w:b w:val="0"/>
                <w:i w:val="0"/>
                <w:color w:val="4A4843"/>
                <w:sz w:val="18"/>
              </w:rPr>
              <w:t>27</w:t>
            </w:r>
          </w:p>
        </w:tc>
      </w:tr>
      <w:tr>
        <w:tc>
          <w:tcPr>
            <w:tcW w:type="dxa" w:w="4680"/>
            <w:shd w:val="clear" w:color="auto" w:fill="F4EFE2"/>
          </w:tcPr>
          <w:p>
            <w:pPr>
              <w:spacing w:before="60" w:after="60"/>
            </w:pPr>
            <w:r>
              <w:rPr>
                <w:rFonts w:ascii="JetBrains Mono" w:hAnsi="JetBrains Mono"/>
                <w:b w:val="0"/>
                <w:i w:val="0"/>
                <w:color w:val="6B6862"/>
                <w:sz w:val="18"/>
              </w:rPr>
              <w:t xml:space="preserve">  Arbitration (2 cases)</w:t>
            </w:r>
          </w:p>
        </w:tc>
        <w:tc>
          <w:tcPr>
            <w:tcW w:type="dxa" w:w="4680"/>
            <w:shd w:val="clear" w:color="auto" w:fill="F4EFE2"/>
          </w:tcPr>
          <w:p>
            <w:pPr>
              <w:spacing w:before="60" w:after="60"/>
            </w:pPr>
            <w:r>
              <w:rPr>
                <w:rFonts w:ascii="JetBrains Mono" w:hAnsi="JetBrains Mono"/>
                <w:b w:val="0"/>
                <w:i w:val="0"/>
                <w:color w:val="4A4843"/>
                <w:sz w:val="18"/>
              </w:rPr>
              <w:t>26.0</w:t>
            </w:r>
          </w:p>
        </w:tc>
      </w:tr>
      <w:tr>
        <w:tc>
          <w:tcPr>
            <w:tcW w:type="dxa" w:w="4680"/>
            <w:shd w:val="clear" w:color="auto" w:fill="F4EFE2"/>
          </w:tcPr>
          <w:p>
            <w:pPr>
              <w:spacing w:before="60" w:after="60"/>
            </w:pPr>
            <w:r>
              <w:rPr>
                <w:rFonts w:ascii="JetBrains Mono" w:hAnsi="JetBrains Mono"/>
                <w:b w:val="0"/>
                <w:i w:val="0"/>
                <w:color w:val="6B6862"/>
                <w:sz w:val="18"/>
              </w:rPr>
              <w:t xml:space="preserve">  Qualified Immunity (1 cases)</w:t>
            </w:r>
          </w:p>
        </w:tc>
        <w:tc>
          <w:tcPr>
            <w:tcW w:type="dxa" w:w="4680"/>
            <w:shd w:val="clear" w:color="auto" w:fill="F4EFE2"/>
          </w:tcPr>
          <w:p>
            <w:pPr>
              <w:spacing w:before="60" w:after="60"/>
            </w:pPr>
            <w:r>
              <w:rPr>
                <w:rFonts w:ascii="JetBrains Mono" w:hAnsi="JetBrains Mono"/>
                <w:b w:val="0"/>
                <w:i w:val="0"/>
                <w:color w:val="4A4843"/>
                <w:sz w:val="18"/>
              </w:rPr>
              <w:t>26</w:t>
            </w:r>
          </w:p>
        </w:tc>
      </w:tr>
      <w:tr>
        <w:tc>
          <w:tcPr>
            <w:tcW w:type="dxa" w:w="4680"/>
            <w:shd w:val="clear" w:color="auto" w:fill="F4EFE2"/>
          </w:tcPr>
          <w:p>
            <w:pPr>
              <w:spacing w:before="60" w:after="60"/>
            </w:pPr>
            <w:r>
              <w:rPr>
                <w:rFonts w:ascii="JetBrains Mono" w:hAnsi="JetBrains Mono"/>
                <w:b w:val="0"/>
                <w:i w:val="0"/>
                <w:color w:val="6B6862"/>
                <w:sz w:val="18"/>
              </w:rPr>
              <w:t xml:space="preserve">  Religion (1 cases)</w:t>
            </w:r>
          </w:p>
        </w:tc>
        <w:tc>
          <w:tcPr>
            <w:tcW w:type="dxa" w:w="4680"/>
            <w:shd w:val="clear" w:color="auto" w:fill="F4EFE2"/>
          </w:tcPr>
          <w:p>
            <w:pPr>
              <w:spacing w:before="60" w:after="60"/>
            </w:pPr>
            <w:r>
              <w:rPr>
                <w:rFonts w:ascii="JetBrains Mono" w:hAnsi="JetBrains Mono"/>
                <w:b w:val="0"/>
                <w:i w:val="0"/>
                <w:color w:val="4A4843"/>
                <w:sz w:val="18"/>
              </w:rPr>
              <w:t>25</w:t>
            </w:r>
          </w:p>
        </w:tc>
      </w:tr>
      <w:tr>
        <w:tc>
          <w:tcPr>
            <w:tcW w:type="dxa" w:w="4680"/>
            <w:shd w:val="clear" w:color="auto" w:fill="F4EFE2"/>
          </w:tcPr>
          <w:p>
            <w:pPr>
              <w:spacing w:before="60" w:after="60"/>
            </w:pPr>
            <w:r>
              <w:rPr>
                <w:rFonts w:ascii="JetBrains Mono" w:hAnsi="JetBrains Mono"/>
                <w:b/>
                <w:i w:val="0"/>
                <w:color w:val="B8913D"/>
                <w:sz w:val="18"/>
              </w:rPr>
              <w:t>* Contract (19 cases)</w:t>
            </w:r>
          </w:p>
        </w:tc>
        <w:tc>
          <w:tcPr>
            <w:tcW w:type="dxa" w:w="4680"/>
            <w:shd w:val="clear" w:color="auto" w:fill="F4EFE2"/>
          </w:tcPr>
          <w:p>
            <w:pPr>
              <w:spacing w:before="60" w:after="60"/>
            </w:pPr>
            <w:r>
              <w:rPr>
                <w:rFonts w:ascii="JetBrains Mono" w:hAnsi="JetBrains Mono"/>
                <w:b w:val="0"/>
                <w:i w:val="0"/>
                <w:color w:val="1A1814"/>
                <w:sz w:val="18"/>
              </w:rPr>
              <w:t>23</w:t>
            </w:r>
          </w:p>
        </w:tc>
      </w:tr>
      <w:tr>
        <w:tc>
          <w:tcPr>
            <w:tcW w:type="dxa" w:w="4680"/>
            <w:shd w:val="clear" w:color="auto" w:fill="F4EFE2"/>
          </w:tcPr>
          <w:p>
            <w:pPr>
              <w:spacing w:before="60" w:after="60"/>
            </w:pPr>
            <w:r>
              <w:rPr>
                <w:rFonts w:ascii="JetBrains Mono" w:hAnsi="JetBrains Mono"/>
                <w:b w:val="0"/>
                <w:i w:val="0"/>
                <w:color w:val="6B6862"/>
                <w:sz w:val="18"/>
              </w:rPr>
              <w:t xml:space="preserve">  Speech (1 cases)</w:t>
            </w:r>
          </w:p>
        </w:tc>
        <w:tc>
          <w:tcPr>
            <w:tcW w:type="dxa" w:w="4680"/>
            <w:shd w:val="clear" w:color="auto" w:fill="F4EFE2"/>
          </w:tcPr>
          <w:p>
            <w:pPr>
              <w:spacing w:before="60" w:after="60"/>
            </w:pPr>
            <w:r>
              <w:rPr>
                <w:rFonts w:ascii="JetBrains Mono" w:hAnsi="JetBrains Mono"/>
                <w:b w:val="0"/>
                <w:i w:val="0"/>
                <w:color w:val="4A4843"/>
                <w:sz w:val="18"/>
              </w:rPr>
              <w:t>23</w:t>
            </w:r>
          </w:p>
        </w:tc>
      </w:tr>
      <w:tr>
        <w:tc>
          <w:tcPr>
            <w:tcW w:type="dxa" w:w="4680"/>
            <w:shd w:val="clear" w:color="auto" w:fill="F4EFE2"/>
          </w:tcPr>
          <w:p>
            <w:pPr>
              <w:spacing w:before="60" w:after="60"/>
            </w:pPr>
            <w:r>
              <w:rPr>
                <w:rFonts w:ascii="JetBrains Mono" w:hAnsi="JetBrains Mono"/>
                <w:b w:val="0"/>
                <w:i w:val="0"/>
                <w:color w:val="6B6862"/>
                <w:sz w:val="18"/>
              </w:rPr>
              <w:t xml:space="preserve">  False Claims Act (1 cases)</w:t>
            </w:r>
          </w:p>
        </w:tc>
        <w:tc>
          <w:tcPr>
            <w:tcW w:type="dxa" w:w="4680"/>
            <w:shd w:val="clear" w:color="auto" w:fill="F4EFE2"/>
          </w:tcPr>
          <w:p>
            <w:pPr>
              <w:spacing w:before="60" w:after="60"/>
            </w:pPr>
            <w:r>
              <w:rPr>
                <w:rFonts w:ascii="JetBrains Mono" w:hAnsi="JetBrains Mono"/>
                <w:b w:val="0"/>
                <w:i w:val="0"/>
                <w:color w:val="4A4843"/>
                <w:sz w:val="18"/>
              </w:rPr>
              <w:t>22</w:t>
            </w:r>
          </w:p>
        </w:tc>
      </w:tr>
      <w:tr>
        <w:tc>
          <w:tcPr>
            <w:tcW w:type="dxa" w:w="4680"/>
            <w:shd w:val="clear" w:color="auto" w:fill="F4EFE2"/>
          </w:tcPr>
          <w:p>
            <w:pPr>
              <w:spacing w:before="60" w:after="60"/>
            </w:pPr>
            <w:r>
              <w:rPr>
                <w:rFonts w:ascii="JetBrains Mono" w:hAnsi="JetBrains Mono"/>
                <w:b w:val="0"/>
                <w:i w:val="0"/>
                <w:color w:val="6B6862"/>
                <w:sz w:val="18"/>
              </w:rPr>
              <w:t xml:space="preserve">  Trade Secrets (2 cases)</w:t>
            </w:r>
          </w:p>
        </w:tc>
        <w:tc>
          <w:tcPr>
            <w:tcW w:type="dxa" w:w="4680"/>
            <w:shd w:val="clear" w:color="auto" w:fill="F4EFE2"/>
          </w:tcPr>
          <w:p>
            <w:pPr>
              <w:spacing w:before="60" w:after="60"/>
            </w:pPr>
            <w:r>
              <w:rPr>
                <w:rFonts w:ascii="JetBrains Mono" w:hAnsi="JetBrains Mono"/>
                <w:b w:val="0"/>
                <w:i w:val="0"/>
                <w:color w:val="4A4843"/>
                <w:sz w:val="18"/>
              </w:rPr>
              <w:t>21.5</w:t>
            </w:r>
          </w:p>
        </w:tc>
      </w:tr>
      <w:tr>
        <w:tc>
          <w:tcPr>
            <w:tcW w:type="dxa" w:w="4680"/>
            <w:shd w:val="clear" w:color="auto" w:fill="F4EFE2"/>
          </w:tcPr>
          <w:p>
            <w:pPr>
              <w:spacing w:before="60" w:after="60"/>
            </w:pPr>
            <w:r>
              <w:rPr>
                <w:rFonts w:ascii="JetBrains Mono" w:hAnsi="JetBrains Mono"/>
                <w:b w:val="0"/>
                <w:i w:val="0"/>
                <w:color w:val="6B6862"/>
                <w:sz w:val="18"/>
              </w:rPr>
              <w:t xml:space="preserve">  Employment (8 cases)</w:t>
            </w:r>
          </w:p>
        </w:tc>
        <w:tc>
          <w:tcPr>
            <w:tcW w:type="dxa" w:w="4680"/>
            <w:shd w:val="clear" w:color="auto" w:fill="F4EFE2"/>
          </w:tcPr>
          <w:p>
            <w:pPr>
              <w:spacing w:before="60" w:after="60"/>
            </w:pPr>
            <w:r>
              <w:rPr>
                <w:rFonts w:ascii="JetBrains Mono" w:hAnsi="JetBrains Mono"/>
                <w:b w:val="0"/>
                <w:i w:val="0"/>
                <w:color w:val="4A4843"/>
                <w:sz w:val="18"/>
              </w:rPr>
              <w:t>19.5</w:t>
            </w:r>
          </w:p>
        </w:tc>
      </w:tr>
      <w:tr>
        <w:tc>
          <w:tcPr>
            <w:tcW w:type="dxa" w:w="4680"/>
            <w:shd w:val="clear" w:color="auto" w:fill="F4EFE2"/>
          </w:tcPr>
          <w:p>
            <w:pPr>
              <w:spacing w:before="60" w:after="60"/>
            </w:pPr>
            <w:r>
              <w:rPr>
                <w:rFonts w:ascii="JetBrains Mono" w:hAnsi="JetBrains Mono"/>
                <w:b w:val="0"/>
                <w:i w:val="0"/>
                <w:color w:val="6B6862"/>
                <w:sz w:val="18"/>
              </w:rPr>
              <w:t xml:space="preserve">  Ftca (1 cases)</w:t>
            </w:r>
          </w:p>
        </w:tc>
        <w:tc>
          <w:tcPr>
            <w:tcW w:type="dxa" w:w="4680"/>
            <w:shd w:val="clear" w:color="auto" w:fill="F4EFE2"/>
          </w:tcPr>
          <w:p>
            <w:pPr>
              <w:spacing w:before="60" w:after="60"/>
            </w:pPr>
            <w:r>
              <w:rPr>
                <w:rFonts w:ascii="JetBrains Mono" w:hAnsi="JetBrains Mono"/>
                <w:b w:val="0"/>
                <w:i w:val="0"/>
                <w:color w:val="4A4843"/>
                <w:sz w:val="18"/>
              </w:rPr>
              <w:t>19</w:t>
            </w:r>
          </w:p>
        </w:tc>
      </w:tr>
      <w:tr>
        <w:tc>
          <w:tcPr>
            <w:tcW w:type="dxa" w:w="4680"/>
            <w:shd w:val="clear" w:color="auto" w:fill="F4EFE2"/>
          </w:tcPr>
          <w:p>
            <w:pPr>
              <w:spacing w:before="60" w:after="60"/>
            </w:pPr>
            <w:r>
              <w:rPr>
                <w:rFonts w:ascii="JetBrains Mono" w:hAnsi="JetBrains Mono"/>
                <w:b w:val="0"/>
                <w:i w:val="0"/>
                <w:color w:val="6B6862"/>
                <w:sz w:val="18"/>
              </w:rPr>
              <w:t xml:space="preserve">  Insurance (13 cases)</w:t>
            </w:r>
          </w:p>
        </w:tc>
        <w:tc>
          <w:tcPr>
            <w:tcW w:type="dxa" w:w="4680"/>
            <w:shd w:val="clear" w:color="auto" w:fill="F4EFE2"/>
          </w:tcPr>
          <w:p>
            <w:pPr>
              <w:spacing w:before="60" w:after="60"/>
            </w:pPr>
            <w:r>
              <w:rPr>
                <w:rFonts w:ascii="JetBrains Mono" w:hAnsi="JetBrains Mono"/>
                <w:b w:val="0"/>
                <w:i w:val="0"/>
                <w:color w:val="4A4843"/>
                <w:sz w:val="18"/>
              </w:rPr>
              <w:t>18</w:t>
            </w:r>
          </w:p>
        </w:tc>
      </w:tr>
      <w:tr>
        <w:tc>
          <w:tcPr>
            <w:tcW w:type="dxa" w:w="4680"/>
            <w:shd w:val="clear" w:color="auto" w:fill="F4EFE2"/>
          </w:tcPr>
          <w:p>
            <w:pPr>
              <w:spacing w:before="60" w:after="60"/>
            </w:pPr>
            <w:r>
              <w:rPr>
                <w:rFonts w:ascii="JetBrains Mono" w:hAnsi="JetBrains Mono"/>
                <w:b w:val="0"/>
                <w:i w:val="0"/>
                <w:color w:val="6B6862"/>
                <w:sz w:val="18"/>
              </w:rPr>
              <w:t xml:space="preserve">  Res Judicata (11 cases)</w:t>
            </w:r>
          </w:p>
        </w:tc>
        <w:tc>
          <w:tcPr>
            <w:tcW w:type="dxa" w:w="4680"/>
            <w:shd w:val="clear" w:color="auto" w:fill="F4EFE2"/>
          </w:tcPr>
          <w:p>
            <w:pPr>
              <w:spacing w:before="60" w:after="60"/>
            </w:pPr>
            <w:r>
              <w:rPr>
                <w:rFonts w:ascii="JetBrains Mono" w:hAnsi="JetBrains Mono"/>
                <w:b w:val="0"/>
                <w:i w:val="0"/>
                <w:color w:val="4A4843"/>
                <w:sz w:val="18"/>
              </w:rPr>
              <w:t>18</w:t>
            </w:r>
          </w:p>
        </w:tc>
      </w:tr>
      <w:tr>
        <w:tc>
          <w:tcPr>
            <w:tcW w:type="dxa" w:w="4680"/>
            <w:shd w:val="clear" w:color="auto" w:fill="F4EFE2"/>
          </w:tcPr>
          <w:p>
            <w:pPr>
              <w:spacing w:before="60" w:after="60"/>
            </w:pPr>
            <w:r>
              <w:rPr>
                <w:rFonts w:ascii="JetBrains Mono" w:hAnsi="JetBrains Mono"/>
                <w:b w:val="0"/>
                <w:i w:val="0"/>
                <w:color w:val="6B6862"/>
                <w:sz w:val="18"/>
              </w:rPr>
              <w:t xml:space="preserve">  Other (1 cases)</w:t>
            </w:r>
          </w:p>
        </w:tc>
        <w:tc>
          <w:tcPr>
            <w:tcW w:type="dxa" w:w="4680"/>
            <w:shd w:val="clear" w:color="auto" w:fill="F4EFE2"/>
          </w:tcPr>
          <w:p>
            <w:pPr>
              <w:spacing w:before="60" w:after="60"/>
            </w:pPr>
            <w:r>
              <w:rPr>
                <w:rFonts w:ascii="JetBrains Mono" w:hAnsi="JetBrains Mono"/>
                <w:b w:val="0"/>
                <w:i w:val="0"/>
                <w:color w:val="4A4843"/>
                <w:sz w:val="18"/>
              </w:rPr>
              <w:t>18</w:t>
            </w:r>
          </w:p>
        </w:tc>
      </w:tr>
      <w:tr>
        <w:tc>
          <w:tcPr>
            <w:tcW w:type="dxa" w:w="4680"/>
            <w:shd w:val="clear" w:color="auto" w:fill="F4EFE2"/>
          </w:tcPr>
          <w:p>
            <w:pPr>
              <w:spacing w:before="60" w:after="60"/>
            </w:pPr>
            <w:r>
              <w:rPr>
                <w:rFonts w:ascii="JetBrains Mono" w:hAnsi="JetBrains Mono"/>
                <w:b w:val="0"/>
                <w:i w:val="0"/>
                <w:color w:val="6B6862"/>
                <w:sz w:val="18"/>
              </w:rPr>
              <w:t xml:space="preserve">  Maritime (3 cases)</w:t>
            </w:r>
          </w:p>
        </w:tc>
        <w:tc>
          <w:tcPr>
            <w:tcW w:type="dxa" w:w="4680"/>
            <w:shd w:val="clear" w:color="auto" w:fill="F4EFE2"/>
          </w:tcPr>
          <w:p>
            <w:pPr>
              <w:spacing w:before="60" w:after="60"/>
            </w:pPr>
            <w:r>
              <w:rPr>
                <w:rFonts w:ascii="JetBrains Mono" w:hAnsi="JetBrains Mono"/>
                <w:b w:val="0"/>
                <w:i w:val="0"/>
                <w:color w:val="4A4843"/>
                <w:sz w:val="18"/>
              </w:rPr>
              <w:t>16</w:t>
            </w:r>
          </w:p>
        </w:tc>
      </w:tr>
      <w:tr>
        <w:tc>
          <w:tcPr>
            <w:tcW w:type="dxa" w:w="4680"/>
            <w:shd w:val="clear" w:color="auto" w:fill="F4EFE2"/>
          </w:tcPr>
          <w:p>
            <w:pPr>
              <w:spacing w:before="60" w:after="60"/>
            </w:pPr>
            <w:r>
              <w:rPr>
                <w:rFonts w:ascii="JetBrains Mono" w:hAnsi="JetBrains Mono"/>
                <w:b w:val="0"/>
                <w:i w:val="0"/>
                <w:color w:val="6B6862"/>
                <w:sz w:val="18"/>
              </w:rPr>
              <w:t xml:space="preserve">  Class Action (3 cases)</w:t>
            </w:r>
          </w:p>
        </w:tc>
        <w:tc>
          <w:tcPr>
            <w:tcW w:type="dxa" w:w="4680"/>
            <w:shd w:val="clear" w:color="auto" w:fill="F4EFE2"/>
          </w:tcPr>
          <w:p>
            <w:pPr>
              <w:spacing w:before="60" w:after="60"/>
            </w:pPr>
            <w:r>
              <w:rPr>
                <w:rFonts w:ascii="JetBrains Mono" w:hAnsi="JetBrains Mono"/>
                <w:b w:val="0"/>
                <w:i w:val="0"/>
                <w:color w:val="4A4843"/>
                <w:sz w:val="18"/>
              </w:rPr>
              <w:t>14</w:t>
            </w:r>
          </w:p>
        </w:tc>
      </w:tr>
      <w:tr>
        <w:tc>
          <w:tcPr>
            <w:tcW w:type="dxa" w:w="4680"/>
            <w:shd w:val="clear" w:color="auto" w:fill="F4EFE2"/>
          </w:tcPr>
          <w:p>
            <w:pPr>
              <w:spacing w:before="60" w:after="60"/>
            </w:pPr>
            <w:r>
              <w:rPr>
                <w:rFonts w:ascii="JetBrains Mono" w:hAnsi="JetBrains Mono"/>
                <w:b w:val="0"/>
                <w:i w:val="0"/>
                <w:color w:val="6B6862"/>
                <w:sz w:val="18"/>
              </w:rPr>
              <w:t xml:space="preserve">  Bankruptcy (1 cases)</w:t>
            </w:r>
          </w:p>
        </w:tc>
        <w:tc>
          <w:tcPr>
            <w:tcW w:type="dxa" w:w="4680"/>
            <w:shd w:val="clear" w:color="auto" w:fill="F4EFE2"/>
          </w:tcPr>
          <w:p>
            <w:pPr>
              <w:spacing w:before="60" w:after="60"/>
            </w:pPr>
            <w:r>
              <w:rPr>
                <w:rFonts w:ascii="JetBrains Mono" w:hAnsi="JetBrains Mono"/>
                <w:b w:val="0"/>
                <w:i w:val="0"/>
                <w:color w:val="4A4843"/>
                <w:sz w:val="18"/>
              </w:rPr>
              <w:t>14</w:t>
            </w:r>
          </w:p>
        </w:tc>
      </w:tr>
      <w:tr>
        <w:tc>
          <w:tcPr>
            <w:tcW w:type="dxa" w:w="4680"/>
            <w:shd w:val="clear" w:color="auto" w:fill="F4EFE2"/>
          </w:tcPr>
          <w:p>
            <w:pPr>
              <w:spacing w:before="60" w:after="60"/>
            </w:pPr>
            <w:r>
              <w:rPr>
                <w:rFonts w:ascii="JetBrains Mono" w:hAnsi="JetBrains Mono"/>
                <w:b w:val="0"/>
                <w:i w:val="0"/>
                <w:color w:val="6B6862"/>
                <w:sz w:val="18"/>
              </w:rPr>
              <w:t xml:space="preserve">  Civil Rights (3 cases)</w:t>
            </w:r>
          </w:p>
        </w:tc>
        <w:tc>
          <w:tcPr>
            <w:tcW w:type="dxa" w:w="4680"/>
            <w:shd w:val="clear" w:color="auto" w:fill="F4EFE2"/>
          </w:tcPr>
          <w:p>
            <w:pPr>
              <w:spacing w:before="60" w:after="60"/>
            </w:pPr>
            <w:r>
              <w:rPr>
                <w:rFonts w:ascii="JetBrains Mono" w:hAnsi="JetBrains Mono"/>
                <w:b w:val="0"/>
                <w:i w:val="0"/>
                <w:color w:val="4A4843"/>
                <w:sz w:val="18"/>
              </w:rPr>
              <w:t>12</w:t>
            </w:r>
          </w:p>
        </w:tc>
      </w:tr>
      <w:tr>
        <w:tc>
          <w:tcPr>
            <w:tcW w:type="dxa" w:w="4680"/>
            <w:shd w:val="clear" w:color="auto" w:fill="F4EFE2"/>
          </w:tcPr>
          <w:p>
            <w:pPr>
              <w:spacing w:before="60" w:after="60"/>
            </w:pPr>
            <w:r>
              <w:rPr>
                <w:rFonts w:ascii="JetBrains Mono" w:hAnsi="JetBrains Mono"/>
                <w:b w:val="0"/>
                <w:i w:val="0"/>
                <w:color w:val="6B6862"/>
                <w:sz w:val="18"/>
              </w:rPr>
              <w:t xml:space="preserve">  Criminal (1 cases)</w:t>
            </w:r>
          </w:p>
        </w:tc>
        <w:tc>
          <w:tcPr>
            <w:tcW w:type="dxa" w:w="4680"/>
            <w:shd w:val="clear" w:color="auto" w:fill="F4EFE2"/>
          </w:tcPr>
          <w:p>
            <w:pPr>
              <w:spacing w:before="60" w:after="60"/>
            </w:pPr>
            <w:r>
              <w:rPr>
                <w:rFonts w:ascii="JetBrains Mono" w:hAnsi="JetBrains Mono"/>
                <w:b w:val="0"/>
                <w:i w:val="0"/>
                <w:color w:val="4A4843"/>
                <w:sz w:val="18"/>
              </w:rPr>
              <w:t>11</w:t>
            </w:r>
          </w:p>
        </w:tc>
      </w:tr>
      <w:tr>
        <w:tc>
          <w:tcPr>
            <w:tcW w:type="dxa" w:w="4680"/>
            <w:shd w:val="clear" w:color="auto" w:fill="F4EFE2"/>
          </w:tcPr>
          <w:p>
            <w:pPr>
              <w:spacing w:before="60" w:after="60"/>
            </w:pPr>
            <w:r>
              <w:rPr>
                <w:rFonts w:ascii="JetBrains Mono" w:hAnsi="JetBrains Mono"/>
                <w:b/>
                <w:i w:val="0"/>
                <w:color w:val="B8913D"/>
                <w:sz w:val="18"/>
              </w:rPr>
              <w:t>This panel (Southwick · Engelhardt · Clement) — projected</w:t>
            </w:r>
          </w:p>
        </w:tc>
        <w:tc>
          <w:tcPr>
            <w:tcW w:type="dxa" w:w="4680"/>
            <w:shd w:val="clear" w:color="auto" w:fill="F4EFE2"/>
          </w:tcPr>
          <w:p>
            <w:pPr>
              <w:spacing w:before="60" w:after="60"/>
            </w:pPr>
            <w:r>
              <w:rPr>
                <w:rFonts w:ascii="JetBrains Mono" w:hAnsi="JetBrains Mono"/>
                <w:b w:val="0"/>
                <w:i w:val="0"/>
                <w:color w:val="1A1814"/>
                <w:sz w:val="18"/>
              </w:rPr>
              <w:t>14.2  (floor estimate)</w:t>
            </w:r>
          </w:p>
        </w:tc>
      </w:tr>
      <w:tr>
        <w:tc>
          <w:tcPr>
            <w:tcW w:type="dxa" w:w="4680"/>
            <w:shd w:val="clear" w:color="auto" w:fill="F4EFE2"/>
          </w:tcPr>
          <w:p>
            <w:pPr>
              <w:spacing w:before="60" w:after="60"/>
            </w:pPr>
            <w:r>
              <w:rPr>
                <w:rFonts w:ascii="JetBrains Mono" w:hAnsi="JetBrains Mono"/>
                <w:b w:val="0"/>
                <w:i w:val="0"/>
                <w:color w:val="6B6862"/>
                <w:sz w:val="18"/>
              </w:rPr>
              <w:t xml:space="preserve">  Southwick</w:t>
            </w:r>
          </w:p>
        </w:tc>
        <w:tc>
          <w:tcPr>
            <w:tcW w:type="dxa" w:w="4680"/>
            <w:shd w:val="clear" w:color="auto" w:fill="F4EFE2"/>
          </w:tcPr>
          <w:p>
            <w:pPr>
              <w:spacing w:before="60" w:after="60"/>
            </w:pPr>
            <w:r>
              <w:rPr>
                <w:rFonts w:ascii="JetBrains Mono" w:hAnsi="JetBrains Mono"/>
                <w:b w:val="0"/>
                <w:i w:val="0"/>
                <w:color w:val="4A4843"/>
                <w:sz w:val="18"/>
              </w:rPr>
              <w:t>8.0 avg  ·  10 cases  ·  High-Variance  ·  Cold 4/10 (40%) · Med 2/10 (20%) · Hot 4/10 (40%)</w:t>
            </w:r>
          </w:p>
        </w:tc>
      </w:tr>
      <w:tr>
        <w:tc>
          <w:tcPr>
            <w:tcW w:type="dxa" w:w="4680"/>
            <w:shd w:val="clear" w:color="auto" w:fill="F4EFE2"/>
          </w:tcPr>
          <w:p>
            <w:pPr>
              <w:spacing w:before="60" w:after="60"/>
            </w:pPr>
            <w:r>
              <w:rPr>
                <w:rFonts w:ascii="JetBrains Mono" w:hAnsi="JetBrains Mono"/>
                <w:b w:val="0"/>
                <w:i w:val="0"/>
                <w:color w:val="6B6862"/>
                <w:sz w:val="18"/>
              </w:rPr>
              <w:t xml:space="preserve">  Engelhardt</w:t>
            </w:r>
          </w:p>
        </w:tc>
        <w:tc>
          <w:tcPr>
            <w:tcW w:type="dxa" w:w="4680"/>
            <w:shd w:val="clear" w:color="auto" w:fill="F4EFE2"/>
          </w:tcPr>
          <w:p>
            <w:pPr>
              <w:spacing w:before="60" w:after="60"/>
            </w:pPr>
            <w:r>
              <w:rPr>
                <w:rFonts w:ascii="JetBrains Mono" w:hAnsi="JetBrains Mono"/>
                <w:b w:val="0"/>
                <w:i w:val="0"/>
                <w:color w:val="4A4843"/>
                <w:sz w:val="18"/>
              </w:rPr>
              <w:t>3.4 avg  ·  4 cases  ·  Consistent  ·  Cold 3/4 (75%) · Med 1/4 (25%)</w:t>
            </w:r>
          </w:p>
        </w:tc>
      </w:tr>
      <w:tr>
        <w:tc>
          <w:tcPr>
            <w:tcW w:type="dxa" w:w="4680"/>
            <w:shd w:val="clear" w:color="auto" w:fill="F4EFE2"/>
          </w:tcPr>
          <w:p>
            <w:pPr>
              <w:spacing w:before="60" w:after="60"/>
            </w:pPr>
            <w:r>
              <w:rPr>
                <w:rFonts w:ascii="JetBrains Mono" w:hAnsi="JetBrains Mono"/>
                <w:b w:val="0"/>
                <w:i w:val="0"/>
                <w:color w:val="6B6862"/>
                <w:sz w:val="18"/>
              </w:rPr>
              <w:t xml:space="preserve">  Clement</w:t>
            </w:r>
          </w:p>
        </w:tc>
        <w:tc>
          <w:tcPr>
            <w:tcW w:type="dxa" w:w="4680"/>
            <w:shd w:val="clear" w:color="auto" w:fill="F4EFE2"/>
          </w:tcPr>
          <w:p>
            <w:pPr>
              <w:spacing w:before="60" w:after="60"/>
            </w:pPr>
            <w:r>
              <w:rPr>
                <w:rFonts w:ascii="JetBrains Mono" w:hAnsi="JetBrains Mono"/>
                <w:b w:val="0"/>
                <w:i w:val="0"/>
                <w:color w:val="4A4843"/>
                <w:sz w:val="18"/>
              </w:rPr>
              <w:t>2.7 avg  ·  7 cases  ·  High-Variance  ·  Cold 5/7 (71%) · Med 2/7 (29%)</w:t>
            </w:r>
          </w:p>
        </w:tc>
      </w:tr>
    </w:tbl>
    <w:p>
      <w:pPr>
        <w:keepNext w:val="0"/>
        <w:spacing w:before="0" w:after="160"/>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BENCH TEMPERATURE</w:t>
      </w:r>
    </w:p>
    <w:p>
      <w:pPr>
        <w:keepNext/>
        <w:spacing w:before="280" w:after="120"/>
      </w:pPr>
      <w:r>
        <w:rPr>
          <w:rFonts w:ascii="Cormorant Garamond" w:hAnsi="Cormorant Garamond"/>
          <w:b w:val="0"/>
          <w:i w:val="0"/>
          <w:color w:val="1A1814"/>
          <w:sz w:val="32"/>
        </w:rPr>
        <w:t>Historical Engagement: Cold</w:t>
      </w:r>
    </w:p>
    <w:p>
      <w:pPr>
        <w:keepNext w:val="0"/>
        <w:spacing w:before="0" w:after="80"/>
      </w:pPr>
      <w:r>
        <w:rPr>
          <w:rFonts w:ascii="JetBrains Mono" w:hAnsi="JetBrains Mono"/>
          <w:b w:val="0"/>
          <w:i w:val="0"/>
          <w:color w:val="6B6862"/>
          <w:sz w:val="18"/>
        </w:rPr>
        <w:t>Panel median: 3.4 avg questions/argument  ·  Based on corpus data only.</w:t>
      </w:r>
    </w:p>
    <w:p>
      <w:pPr>
        <w:keepNext w:val="0"/>
        <w:spacing w:before="0" w:after="40"/>
      </w:pPr>
      <w:r>
        <w:rPr>
          <w:rFonts w:ascii="JetBrains Mono" w:hAnsi="JetBrains Mono"/>
          <w:b w:val="0"/>
          <w:i w:val="0"/>
          <w:color w:val="4A4843"/>
          <w:sz w:val="18"/>
        </w:rPr>
        <w:t>Southwick: historically averaged 8.0 questions/argument across 10 corpus cases</w:t>
      </w:r>
    </w:p>
    <w:p>
      <w:pPr>
        <w:keepNext w:val="0"/>
        <w:spacing w:before="0" w:after="40"/>
      </w:pPr>
      <w:r>
        <w:rPr>
          <w:rFonts w:ascii="JetBrains Mono" w:hAnsi="JetBrains Mono"/>
          <w:b w:val="0"/>
          <w:i w:val="0"/>
          <w:color w:val="4A4843"/>
          <w:sz w:val="18"/>
        </w:rPr>
        <w:t>Engelhardt: historically averaged 3.4 questions/argument across 4 corpus cases</w:t>
      </w:r>
    </w:p>
    <w:p>
      <w:pPr>
        <w:keepNext w:val="0"/>
        <w:spacing w:before="0" w:after="40"/>
      </w:pPr>
      <w:r>
        <w:rPr>
          <w:rFonts w:ascii="JetBrains Mono" w:hAnsi="JetBrains Mono"/>
          <w:b w:val="0"/>
          <w:i w:val="0"/>
          <w:color w:val="4A4843"/>
          <w:sz w:val="18"/>
        </w:rPr>
        <w:t>Clement: historically averaged 2.7 questions/argument across 7 corpus cases</w:t>
      </w:r>
    </w:p>
    <w:p>
      <w:pPr>
        <w:keepNext w:val="0"/>
        <w:spacing w:before="0" w:after="80"/>
      </w:pPr>
      <w:r>
        <w:rPr>
          <w:rFonts w:ascii="JetBrains Mono" w:hAnsi="JetBrains Mono"/>
          <w:b w:val="0"/>
          <w:i w:val="0"/>
          <w:color w:val="C8392B"/>
          <w:sz w:val="18"/>
        </w:rPr>
        <w:t>⚠  Lopsided panel: Southwick has historically averaged significantly more questions than the other panel members.</w:t>
      </w:r>
    </w:p>
    <w:p>
      <w:pPr>
        <w:keepNext w:val="0"/>
        <w:spacing w:before="0" w:after="240"/>
      </w:pPr>
      <w:r>
        <w:rPr>
          <w:rFonts w:ascii="JetBrains Mono" w:hAnsi="JetBrains Mono"/>
          <w:b w:val="0"/>
          <w:i w:val="0"/>
          <w:color w:val="6B6862"/>
          <w:sz w:val="18"/>
        </w:rPr>
        <w:t>These are historical averages from the Bartolus corpus, not predictions. Actual argument engagement depends on panel preparation, case complexity, and factors outside this dataset.</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JUDGE OVERVIEW</w:t>
      </w:r>
    </w:p>
    <w:p>
      <w:pPr>
        <w:keepNext/>
        <w:spacing w:before="280" w:after="120"/>
      </w:pPr>
      <w:r>
        <w:rPr>
          <w:rFonts w:ascii="Cormorant Garamond" w:hAnsi="Cormorant Garamond"/>
          <w:b w:val="0"/>
          <w:i w:val="0"/>
          <w:color w:val="1A1814"/>
          <w:sz w:val="32"/>
        </w:rPr>
        <w:t>Southwick</w:t>
      </w:r>
    </w:p>
    <w:p>
      <w:pPr>
        <w:keepNext w:val="0"/>
        <w:spacing w:before="0" w:after="80"/>
      </w:pPr>
      <w:r>
        <w:rPr>
          <w:rFonts w:ascii="JetBrains Mono" w:hAnsi="JetBrains Mono"/>
          <w:b w:val="0"/>
          <w:i w:val="0"/>
          <w:color w:val="6B6862"/>
          <w:sz w:val="18"/>
        </w:rPr>
        <w:t>High-Variance  ·  avg 8.0 Qs/argument  ·  10 cases</w:t>
      </w:r>
    </w:p>
    <w:p>
      <w:pPr>
        <w:keepNext/>
        <w:spacing w:before="200" w:after="80"/>
      </w:pPr>
      <w:r>
        <w:rPr>
          <w:rFonts w:ascii="Cormorant Garamond" w:hAnsi="Cormorant Garamond"/>
          <w:b w:val="0"/>
          <w:i w:val="0"/>
          <w:color w:val="1A1814"/>
          <w:sz w:val="26"/>
        </w:rPr>
        <w:t>Personality</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Southwick tends to zero in on specific contractual or statutory language by section number and expects counsel to respond to that exact text rather than restate broader legal principles.</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Southwick has shown a pattern of pushing back sharply when a party’s argument rests on a claim that has not been affirmatively established in the record — the rejection instances reflect skepticism toward theoretical harm or prematurely asserted rights that lack a concrete factual finding.</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Southwick runs a high-temperature bench and is likely to fill argument time with questions across multiple issues rather than allowing extended uninterrupted presentation.</w:t>
      </w:r>
    </w:p>
    <w:p>
      <w:pPr>
        <w:keepNext/>
        <w:spacing w:before="200" w:after="80"/>
      </w:pPr>
      <w:r>
        <w:rPr>
          <w:rFonts w:ascii="Cormorant Garamond" w:hAnsi="Cormorant Garamond"/>
          <w:b w:val="0"/>
          <w:i w:val="0"/>
          <w:color w:val="1A1814"/>
          <w:sz w:val="26"/>
        </w:rPr>
        <w:t>Opens With</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Southwick is likely to open by pointing to Section 9.1(B) of the Master Agreement and asking counsel to identify exactly which words in that provision exclude GE’s pre-subcontractor conduct from its scope.</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The temporal gap between GE’s alleged fraudulent inducement in 2018 and GE’s formal subcontractor status in mid-2019 is the most likely entry point, given that it sits at the center of all three of Alta’s arguments and directly tests whether the waiver’s plain text can bear the weight Alta places on it.</w:t>
      </w:r>
    </w:p>
    <w:p>
      <w:pPr>
        <w:keepNext/>
        <w:spacing w:before="200" w:after="80"/>
      </w:pPr>
      <w:r>
        <w:rPr>
          <w:rFonts w:ascii="Cormorant Garamond" w:hAnsi="Cormorant Garamond"/>
          <w:b w:val="0"/>
          <w:i w:val="0"/>
          <w:color w:val="1A1814"/>
          <w:sz w:val="26"/>
        </w:rPr>
        <w:t>Danger Zone</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Alta’s argument that the word ‘subcontractors’ in Section 9.1(B) implicitly carries a capacity and temporal limitation is where Southwick is most likely to press hardest — Southwick tends to challenge whether a proposed interpretation leads to consequences counsel has not accounted for, and the argument that GE’s later-acquired subcontractor status cannot retroactively shelter pre-Agreement conduct may invite a hypothetical about where that limiting principle stops.</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Alta’s reliance on Bombardier to distinguish between punitive damages and consequential damages may draw sharp questioning, because Southwick has shown a pattern of pressing counsel on whether prior holdings actually support the specific proposition being argued — and the district court read Bombardier as broader than Alta’s brief contends.</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The underlying concern Southwick’s questioning is likely probing is whether Alta’s interpretation of Section 9.1(B) would effectively render the subcontractor language in the waiver meaningless in any case where the tortious conduct predated a formal subcontract, which touches the consistency-of-position concern Southwick has repeatedly surfaced in prior arguments.</w:t>
      </w:r>
    </w:p>
    <w:p>
      <w:pPr>
        <w:keepNext w:val="0"/>
        <w:spacing w:before="200" w:after="2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JUDGE OVERVIEW</w:t>
      </w:r>
    </w:p>
    <w:p>
      <w:pPr>
        <w:keepNext/>
        <w:spacing w:before="280" w:after="120"/>
      </w:pPr>
      <w:r>
        <w:rPr>
          <w:rFonts w:ascii="Cormorant Garamond" w:hAnsi="Cormorant Garamond"/>
          <w:b w:val="0"/>
          <w:i w:val="0"/>
          <w:color w:val="1A1814"/>
          <w:sz w:val="32"/>
        </w:rPr>
        <w:t>Engelhardt</w:t>
      </w:r>
    </w:p>
    <w:p>
      <w:pPr>
        <w:keepNext w:val="0"/>
        <w:spacing w:before="0" w:after="80"/>
      </w:pPr>
      <w:r>
        <w:rPr>
          <w:rFonts w:ascii="JetBrains Mono" w:hAnsi="JetBrains Mono"/>
          <w:b w:val="0"/>
          <w:i w:val="0"/>
          <w:color w:val="6B6862"/>
          <w:sz w:val="18"/>
        </w:rPr>
        <w:t>Consistent  ·  avg 3.5 Qs/argument  ·  4 cases</w:t>
      </w:r>
    </w:p>
    <w:p>
      <w:pPr>
        <w:keepNext/>
        <w:spacing w:before="200" w:after="80"/>
      </w:pPr>
      <w:r>
        <w:rPr>
          <w:rFonts w:ascii="Cormorant Garamond" w:hAnsi="Cormorant Garamond"/>
          <w:b w:val="0"/>
          <w:i w:val="0"/>
          <w:color w:val="1A1814"/>
          <w:sz w:val="26"/>
        </w:rPr>
        <w:t>Personality</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Engelhardt tends to isolate the precise limiting principle of an argument and press repeatedly for its exact boundaries, often posing the same demand to both sides for comparison.</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Engelhardt has shown a pattern of pushing back when counsel argues a position without directly confronting an apparent discrepancy in the record or prior rulings—as when Engelhardt pressed counsel on the gap between what a lower tribunal required and what counsel was now claiming.</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Engelhardt engages selectively rather than filling the room with questions, and when questions do come, they tend to be pointed and diagnostic rather than exploratory.</w:t>
      </w:r>
    </w:p>
    <w:p>
      <w:pPr>
        <w:keepNext/>
        <w:spacing w:before="200" w:after="80"/>
      </w:pPr>
      <w:r>
        <w:rPr>
          <w:rFonts w:ascii="Cormorant Garamond" w:hAnsi="Cormorant Garamond"/>
          <w:b w:val="0"/>
          <w:i w:val="0"/>
          <w:color w:val="1A1814"/>
          <w:sz w:val="26"/>
        </w:rPr>
        <w:t>Opens With</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Engelhardt is likely to open with a limiting-principle question directed at the word ‘subcontractors’ in Section 9.1(B)—specifically, what principled boundary prevents that term from sweeping in any entity that ever attained subcontractor status, regardless of when or in what capacity it acted.</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The most likely entry point is the temporal gap between GE’s alleged fraudulent conduct in 2018 and GE’s formal subcontractor relationship with WattStock in mid-2019—Engelhardt may ask which case on point most directly addresses whether a damages waiver can reach pre-agreement conduct by a party that later falls within a covered category.</w:t>
      </w:r>
    </w:p>
    <w:p>
      <w:pPr>
        <w:keepNext/>
        <w:spacing w:before="200" w:after="80"/>
      </w:pPr>
      <w:r>
        <w:rPr>
          <w:rFonts w:ascii="Cormorant Garamond" w:hAnsi="Cormorant Garamond"/>
          <w:b w:val="0"/>
          <w:i w:val="0"/>
          <w:color w:val="1A1814"/>
          <w:sz w:val="26"/>
        </w:rPr>
        <w:t>Danger Zone</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Alta’s core argument that the ‘subcontractor’ waiver applies only to conduct taken in a subcontractor capacity is likely to draw Engelhardt’s hardest questioning, because Engelhardt tends to demand the single best case that supplies a workable limiting principle for that reading—and neither brief cites a case squarely on point.</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The framing tension between Alta’s prior litigation posture—arguing GE was WattStock’s ‘partner’ or effectively ‘a party to the Master Agreement’—and Alta’s current argument that GE cannot invoke the waiver is likely to draw sharp attention, given Engelhardt’s pattern of pressing counsel to confront discrepancies between prior positions and current arguments.</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The questioning is likely probing whether Alta’s capacity-and-timing limitation on ‘subcontractors’ has any textual anchor in Section 9.1(B), or whether accepting it would render the waiver’s third-party extension largely meaningless—a concern that maps directly onto Engelhardt’s pattern of testing definitional boundaries to see how far an argument’s logic actually reaches.</w:t>
      </w:r>
    </w:p>
    <w:p>
      <w:pPr>
        <w:keepNext w:val="0"/>
        <w:spacing w:before="200" w:after="2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JUDGE OVERVIEW</w:t>
      </w:r>
    </w:p>
    <w:p>
      <w:pPr>
        <w:keepNext/>
        <w:spacing w:before="280" w:after="120"/>
      </w:pPr>
      <w:r>
        <w:rPr>
          <w:rFonts w:ascii="Cormorant Garamond" w:hAnsi="Cormorant Garamond"/>
          <w:b w:val="0"/>
          <w:i w:val="0"/>
          <w:color w:val="1A1814"/>
          <w:sz w:val="32"/>
        </w:rPr>
        <w:t>Clement</w:t>
      </w:r>
    </w:p>
    <w:p>
      <w:pPr>
        <w:keepNext w:val="0"/>
        <w:spacing w:before="0" w:after="80"/>
      </w:pPr>
      <w:r>
        <w:rPr>
          <w:rFonts w:ascii="JetBrains Mono" w:hAnsi="JetBrains Mono"/>
          <w:b w:val="0"/>
          <w:i w:val="0"/>
          <w:color w:val="6B6862"/>
          <w:sz w:val="18"/>
        </w:rPr>
        <w:t>High-Variance  ·  avg 2.7 Qs/argument  ·  7 cases</w:t>
      </w:r>
    </w:p>
    <w:p>
      <w:pPr>
        <w:keepNext/>
        <w:spacing w:before="200" w:after="80"/>
      </w:pPr>
      <w:r>
        <w:rPr>
          <w:rFonts w:ascii="Cormorant Garamond" w:hAnsi="Cormorant Garamond"/>
          <w:b w:val="0"/>
          <w:i w:val="0"/>
          <w:color w:val="1A1814"/>
          <w:sz w:val="26"/>
        </w:rPr>
        <w:t>Personality</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Clement tends to make sharp, corrective interjections that reframe the attorney’s characterization — pinpointing where the argument overstates or misreads the record and substituting a more precise formulation in real time.</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Pushback is most likely to surface when an attorney leans heavily on a single piece of evidence or a single event as the linchpin of their position, with Clement pressing whether that anchor is sufficient to carry the weight placed on it.</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Clement engages selectively and sparingly, with questions distributed unevenly across arguments — some arguments may pass without comment while others draw focused, sharp examination.</w:t>
      </w:r>
    </w:p>
    <w:p>
      <w:pPr>
        <w:keepNext/>
        <w:spacing w:before="200" w:after="80"/>
      </w:pPr>
      <w:r>
        <w:rPr>
          <w:rFonts w:ascii="Cormorant Garamond" w:hAnsi="Cormorant Garamond"/>
          <w:b w:val="0"/>
          <w:i w:val="0"/>
          <w:color w:val="1A1814"/>
          <w:sz w:val="26"/>
        </w:rPr>
        <w:t>Opens With</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A contract-scope question targeting the temporal or capacity limits of the ‘subcontractors’ language in Section 9.1(B) — specifically, whether the waiver’s plain text can plausibly be read to exclude conduct that predated GE’s subcontractor status.</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The most likely entry point is the threshold issue of whether GE’s pre-Agreement conduct can logically fall within a waiver that extends to ‘subcontractors,’ given that GE did not hold that status at the time of the alleged fraud.</w:t>
      </w:r>
    </w:p>
    <w:p>
      <w:pPr>
        <w:keepNext/>
        <w:spacing w:before="200" w:after="80"/>
      </w:pPr>
      <w:r>
        <w:rPr>
          <w:rFonts w:ascii="Cormorant Garamond" w:hAnsi="Cormorant Garamond"/>
          <w:b w:val="0"/>
          <w:i w:val="0"/>
          <w:color w:val="1A1814"/>
          <w:sz w:val="26"/>
        </w:rPr>
        <w:t>Danger Zone</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Alta’s argument that GE must have been acting ‘as a subcontractor’ at the time of the allegedly fraudulent conduct is likely to draw the sharpest examination — Clement has shown a pattern of correcting attorneys who treat a strong inference as something more than the record supports, and GE’s counterargument that the MOU predated the Master Agreement may prompt Clement to press whether the capacity limitation Alta reads into the text is actually there.</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The framing of the Bombardier distinction — specifically, Alta’s argument that Bombardier’s holding is limited to punitive damages and to parties who simultaneously sought to enforce the same contract — is a likely pressure point, given that Clement has shown a pattern of pushing back when an attorney relies on a single case or meeting as the cornerstone of a broader legal proposition.</w:t>
      </w:r>
    </w:p>
    <w:p>
      <w:pPr>
        <w:keepNext w:val="0"/>
        <w:spacing w:before="0" w:after="40"/>
        <w:ind w:left="216"/>
      </w:pPr>
      <w:r>
        <w:rPr>
          <w:rFonts w:ascii="JetBrains Mono" w:hAnsi="JetBrains Mono"/>
          <w:b w:val="0"/>
          <w:i w:val="0"/>
          <w:color w:val="B8913D"/>
          <w:sz w:val="18"/>
        </w:rPr>
        <w:t xml:space="preserve">·  </w:t>
      </w:r>
      <w:r>
        <w:rPr>
          <w:rFonts w:ascii="EB Garamond" w:hAnsi="EB Garamond"/>
          <w:b w:val="0"/>
          <w:i w:val="0"/>
          <w:color w:val="1A1814"/>
          <w:sz w:val="22"/>
        </w:rPr>
        <w:t>The underlying concern the questioning is likely probing is whether Alta is asking the court to read implied limitations into unambiguous contractual language, rather than enforcing the waiver as written — a concern that maps directly onto Clement’s documented tendency to correct attorneys who stretch a legal inference beyond what the text or record will bear.</w:t>
      </w:r>
    </w:p>
    <w:p>
      <w:pPr>
        <w:keepNext w:val="0"/>
        <w:spacing w:before="200" w:after="280"/>
        <w:pBdr>
          <w:bottom w:val="single" w:sz="6" w:space="1" w:color="CFC8B8"/>
        </w:pBdr>
      </w:pPr>
    </w:p>
    <w:p>
      <w:r>
        <w:br w:type="page"/>
      </w:r>
    </w:p>
    <w:p>
      <w:bookmarkStart w:id="5" w:name="bm_rebuttal"/>
      <w:pPr>
        <w:keepNext w:val="0"/>
        <w:spacing w:before="0" w:after="40"/>
      </w:pPr>
      <w:r>
        <w:rPr>
          <w:rFonts w:ascii="JetBrains Mono" w:hAnsi="JetBrains Mono"/>
          <w:b w:val="0"/>
          <w:i w:val="0"/>
          <w:color w:val="B8913D"/>
          <w:sz w:val="16"/>
          <w:spacing w:val="30"/>
        </w:rPr>
        <w:t>§ 05  —  REBUTTAL PREP</w:t>
      </w:r>
      <w:bookmarkEnd w:id="5"/>
    </w:p>
    <w:p>
      <w:pPr>
        <w:keepNext/>
        <w:spacing w:before="240" w:after="200"/>
      </w:pPr>
      <w:r>
        <w:rPr>
          <w:rFonts w:ascii="Cormorant Garamond" w:hAnsi="Cormorant Garamond"/>
          <w:b w:val="0"/>
          <w:i w:val="0"/>
          <w:color w:val="1A1814"/>
          <w:sz w:val="44"/>
        </w:rPr>
        <w:t>Rebuttal Prep</w:t>
      </w:r>
    </w:p>
    <w:p>
      <w:pPr>
        <w:keepNext w:val="0"/>
        <w:spacing w:before="0" w:after="200"/>
      </w:pPr>
      <w:r>
        <w:rPr>
          <w:rFonts w:ascii="EB Garamond" w:hAnsi="EB Garamond"/>
          <w:b w:val="0"/>
          <w:i/>
          <w:color w:val="4A4843"/>
          <w:sz w:val="22"/>
        </w:rPr>
        <w:t>Appellee gets the last word. Anticipate these rebuttal points.</w:t>
      </w:r>
    </w:p>
    <w:p>
      <w:pPr>
        <w:keepNext w:val="0"/>
        <w:spacing w:before="0" w:after="120"/>
      </w:pPr>
      <w:r>
        <w:rPr>
          <w:rFonts w:ascii="EB Garamond" w:hAnsi="EB Garamond"/>
          <w:b/>
          <w:i w:val="0"/>
          <w:color w:val="1A1814"/>
          <w:sz w:val="22"/>
        </w:rPr>
        <w:t xml:space="preserve">1. </w:t>
      </w:r>
      <w:r>
        <w:rPr>
          <w:rFonts w:ascii="EB Garamond" w:hAnsi="EB Garamond"/>
          <w:b w:val="0"/>
          <w:i w:val="0"/>
          <w:color w:val="1A1814"/>
          <w:sz w:val="22"/>
        </w:rPr>
        <w:t>Opponent will argue that Alta conceded GE was WattStock’s subcontractor and never disputed the waiver’s plain text covers subcontractors, so the only question is scope—which the text resolves in GE’s favor.</w:t>
      </w:r>
    </w:p>
    <w:p>
      <w:pPr>
        <w:keepNext w:val="0"/>
        <w:spacing w:before="0" w:after="120"/>
        <w:ind w:left="432"/>
      </w:pPr>
      <w:r>
        <w:rPr>
          <w:rFonts w:ascii="EB Garamond" w:hAnsi="EB Garamond"/>
          <w:b w:val="0"/>
          <w:i w:val="0"/>
          <w:color w:val="1A1814"/>
          <w:sz w:val="22"/>
        </w:rPr>
        <w:t>Conceding GE’s status as subcontractor doesn’t concede that pre-subcontractor, pre-Agreement fraud is covered—the waiver protects conduct in that capacity, not all conduct by anyone who later holds that status.</w:t>
      </w:r>
    </w:p>
    <w:p>
      <w:pPr>
        <w:keepNext w:val="0"/>
        <w:spacing w:before="0" w:after="120"/>
      </w:pPr>
      <w:r>
        <w:rPr>
          <w:rFonts w:ascii="EB Garamond" w:hAnsi="EB Garamond"/>
          <w:b/>
          <w:i w:val="0"/>
          <w:color w:val="1A1814"/>
          <w:sz w:val="22"/>
        </w:rPr>
        <w:t xml:space="preserve">2. </w:t>
      </w:r>
      <w:r>
        <w:rPr>
          <w:rFonts w:ascii="EB Garamond" w:hAnsi="EB Garamond"/>
          <w:b w:val="0"/>
          <w:i w:val="0"/>
          <w:color w:val="1A1814"/>
          <w:sz w:val="22"/>
        </w:rPr>
        <w:t>Opponent will argue that Bombardier forecloses Alta’s fraud-vitiates-the-waiver argument as a matter of Texas law, pointing out the Texas Supreme Court has ‘never held that fraud vitiates a limitation-of-liability clause.’</w:t>
      </w:r>
    </w:p>
    <w:p>
      <w:pPr>
        <w:keepNext w:val="0"/>
        <w:spacing w:before="0" w:after="120"/>
        <w:ind w:left="432"/>
      </w:pPr>
      <w:r>
        <w:rPr>
          <w:rFonts w:ascii="EB Garamond" w:hAnsi="EB Garamond"/>
          <w:b w:val="0"/>
          <w:i w:val="0"/>
          <w:color w:val="1A1814"/>
          <w:sz w:val="22"/>
        </w:rPr>
        <w:t>Bombardier addressed a punitive-damages waiver between contract parties and specifically preserved actual damages; it did not establish a categorical rule immunizing a non-signatory from all actual damages flowing from its own pre-contract fraud.</w:t>
      </w:r>
    </w:p>
    <w:p>
      <w:pPr>
        <w:keepNext w:val="0"/>
        <w:spacing w:before="0" w:after="120"/>
      </w:pPr>
      <w:r>
        <w:rPr>
          <w:rFonts w:ascii="EB Garamond" w:hAnsi="EB Garamond"/>
          <w:b/>
          <w:i w:val="0"/>
          <w:color w:val="1A1814"/>
          <w:sz w:val="22"/>
        </w:rPr>
        <w:t xml:space="preserve">3. </w:t>
      </w:r>
      <w:r>
        <w:rPr>
          <w:rFonts w:ascii="EB Garamond" w:hAnsi="EB Garamond"/>
          <w:b w:val="0"/>
          <w:i w:val="0"/>
          <w:color w:val="1A1814"/>
          <w:sz w:val="22"/>
        </w:rPr>
        <w:t>Opponent will argue that Alta’s claimed lost profits are independently barred as impermissibly speculative because Alta never secured financing, never built the plants, and never earned a dollar of revenue.</w:t>
      </w:r>
    </w:p>
    <w:p>
      <w:pPr>
        <w:keepNext w:val="0"/>
        <w:spacing w:before="0" w:after="120"/>
        <w:ind w:left="432"/>
      </w:pPr>
      <w:r>
        <w:rPr>
          <w:rFonts w:ascii="EB Garamond" w:hAnsi="EB Garamond"/>
          <w:b w:val="0"/>
          <w:i w:val="0"/>
          <w:color w:val="1A1814"/>
          <w:sz w:val="22"/>
        </w:rPr>
        <w:t>Speculative damages is a question of fact for the jury, not a basis for summary judgment that bypassed actual damages entirely—and GE’s own motion did not move on actual damages, only consequential ones.</w:t>
      </w:r>
    </w:p>
    <w:p>
      <w:pPr>
        <w:keepNext w:val="0"/>
        <w:spacing w:before="0" w:after="120"/>
      </w:pPr>
      <w:r>
        <w:rPr>
          <w:rFonts w:ascii="EB Garamond" w:hAnsi="EB Garamond"/>
          <w:b/>
          <w:i w:val="0"/>
          <w:color w:val="1A1814"/>
          <w:sz w:val="22"/>
        </w:rPr>
        <w:t xml:space="preserve">4. </w:t>
      </w:r>
      <w:r>
        <w:rPr>
          <w:rFonts w:ascii="EB Garamond" w:hAnsi="EB Garamond"/>
          <w:b w:val="0"/>
          <w:i w:val="0"/>
          <w:color w:val="1A1814"/>
          <w:sz w:val="22"/>
        </w:rPr>
        <w:t>Opponent will argue that the 2020 NDA and purchase-order agreements—signed directly between Alta and GE, and between Alta and WattStock—contain their own independent consequential-damages waivers that separately bar any lost-profits recovery regardless of how this Court rules on the Master Agreement.</w:t>
      </w:r>
    </w:p>
    <w:p>
      <w:pPr>
        <w:keepNext w:val="0"/>
        <w:spacing w:before="0" w:after="120"/>
        <w:ind w:left="432"/>
      </w:pPr>
      <w:r>
        <w:rPr>
          <w:rFonts w:ascii="EB Garamond" w:hAnsi="EB Garamond"/>
          <w:b w:val="0"/>
          <w:i w:val="0"/>
          <w:color w:val="1A1814"/>
          <w:sz w:val="22"/>
        </w:rPr>
        <w:t>Those contracts were not the basis of the district court’s ruling and were not fully briefed below; moreover, they are prospective waivers entered into after GE’s fraud was already complete and cannot retroactively insulate pre-execution tortious conduct.</w:t>
      </w:r>
    </w:p>
    <w:p>
      <w:pPr>
        <w:keepNext w:val="0"/>
        <w:spacing w:before="0" w:after="120"/>
      </w:pPr>
      <w:r>
        <w:rPr>
          <w:rFonts w:ascii="EB Garamond" w:hAnsi="EB Garamond"/>
          <w:b/>
          <w:i w:val="0"/>
          <w:color w:val="1A1814"/>
          <w:sz w:val="22"/>
        </w:rPr>
        <w:t xml:space="preserve">5. </w:t>
      </w:r>
      <w:r>
        <w:rPr>
          <w:rFonts w:ascii="EB Garamond" w:hAnsi="EB Garamond"/>
          <w:b w:val="0"/>
          <w:i w:val="0"/>
          <w:color w:val="1A1814"/>
          <w:sz w:val="22"/>
        </w:rPr>
        <w:t>Opponent will argue that Alta’s temporal and capacity limitations have no support in the Master Agreement’s plain text and that the ‘arising out of or connected in any way’ language is the only limiting principle the parties chose, which is easily satisfied because GE’s alleged misrepresentations induced execution of the Agreement.</w:t>
      </w:r>
    </w:p>
    <w:p>
      <w:pPr>
        <w:keepNext w:val="0"/>
        <w:spacing w:before="0" w:after="120"/>
        <w:ind w:left="432"/>
      </w:pPr>
      <w:r>
        <w:rPr>
          <w:rFonts w:ascii="EB Garamond" w:hAnsi="EB Garamond"/>
          <w:b w:val="0"/>
          <w:i w:val="0"/>
          <w:color w:val="1A1814"/>
          <w:sz w:val="22"/>
        </w:rPr>
        <w:t>The ‘connected in any way’ language is a subject-matter limit, not a temporal expansion; reading it to immunize fraud that predated both the Agreement and GE’s subcontractor status renders the word ‘subcontractors’ in the waiver surplusage and turns a damages limitation into an unlimited pre-contract release.</w:t>
      </w:r>
    </w:p>
    <w:p>
      <w:pPr>
        <w:keepNext w:val="0"/>
        <w:spacing w:before="0" w:after="120"/>
      </w:pPr>
      <w:r>
        <w:rPr>
          <w:rFonts w:ascii="EB Garamond" w:hAnsi="EB Garamond"/>
          <w:b/>
          <w:i w:val="0"/>
          <w:color w:val="1A1814"/>
          <w:sz w:val="22"/>
        </w:rPr>
        <w:t xml:space="preserve">6. </w:t>
      </w:r>
      <w:r>
        <w:rPr>
          <w:rFonts w:ascii="EB Garamond" w:hAnsi="EB Garamond"/>
          <w:b w:val="0"/>
          <w:i w:val="0"/>
          <w:color w:val="1A1814"/>
          <w:sz w:val="22"/>
        </w:rPr>
        <w:t>Opponent will argue that the statute of frauds independently bars all of Alta’s claims because the two alleged oral promises—to deliver nine units at $10 million each and to backstop WattStock—were never reduced to writing and are unenforceable.</w:t>
      </w:r>
    </w:p>
    <w:p>
      <w:pPr>
        <w:keepNext w:val="0"/>
        <w:spacing w:before="0" w:after="120"/>
        <w:ind w:left="432"/>
      </w:pPr>
      <w:r>
        <w:rPr>
          <w:rFonts w:ascii="EB Garamond" w:hAnsi="EB Garamond"/>
          <w:b w:val="0"/>
          <w:i w:val="0"/>
          <w:color w:val="1A1814"/>
          <w:sz w:val="22"/>
        </w:rPr>
        <w:t>The district court did not reach the statute of frauds, the argument was not the basis of summary judgment, and Alta’s tort claims for fraud and fraudulent inducement do not seek to enforce an oral contract but to recover for the independent wrong of being deceived—Texas law does not extend the statute of frauds to extinguish all tort remedies for misrepresentation.</w:t>
      </w:r>
    </w:p>
    <w:p>
      <w:r>
        <w:br w:type="page"/>
      </w:r>
    </w:p>
    <w:p>
      <w:pPr>
        <w:keepNext w:val="0"/>
        <w:spacing w:before="2160" w:after="0"/>
      </w:pPr>
    </w:p>
    <w:p>
      <w:pPr>
        <w:keepNext w:val="0"/>
        <w:spacing w:before="0" w:after="400"/>
        <w:pBdr>
          <w:bottom w:val="single" w:sz="6" w:space="1" w:color="CFC8B8"/>
        </w:pBdr>
      </w:pPr>
    </w:p>
    <w:p>
      <w:pPr>
        <w:keepNext w:val="0"/>
        <w:spacing w:before="0" w:after="120"/>
        <w:jc w:val="center"/>
      </w:pPr>
      <w:r>
        <w:rPr>
          <w:rFonts w:ascii="Cormorant Garamond" w:hAnsi="Cormorant Garamond"/>
          <w:b w:val="0"/>
          <w:i w:val="0"/>
          <w:color w:val="1A1814"/>
          <w:sz w:val="44"/>
        </w:rPr>
        <w:t>EXPANDED ANALYSIS</w:t>
      </w:r>
    </w:p>
    <w:p>
      <w:pPr>
        <w:keepNext w:val="0"/>
        <w:spacing w:before="0" w:after="0"/>
        <w:jc w:val="center"/>
      </w:pPr>
      <w:r>
        <w:rPr>
          <w:rFonts w:ascii="JetBrains Mono" w:hAnsi="JetBrains Mono"/>
          <w:b w:val="0"/>
          <w:i w:val="0"/>
          <w:color w:val="6B6862"/>
          <w:sz w:val="18"/>
        </w:rPr>
        <w:t>Judge Profiles  ·  Distinctive Patterns  ·  Rejection Triggers  ·  Question Bank</w:t>
      </w:r>
    </w:p>
    <w:p>
      <w:pPr>
        <w:keepNext w:val="0"/>
        <w:spacing w:before="400" w:after="0"/>
        <w:pBdr>
          <w:bottom w:val="single" w:sz="6" w:space="1" w:color="CFC8B8"/>
        </w:pBdr>
      </w:pPr>
    </w:p>
    <w:p>
      <w:r>
        <w:br w:type="page"/>
      </w:r>
    </w:p>
    <w:p>
      <w:bookmarkStart w:id="6" w:name="bm_profile_southwick"/>
      <w:pPr>
        <w:keepNext w:val="0"/>
        <w:spacing w:before="0" w:after="40"/>
      </w:pPr>
      <w:r>
        <w:rPr>
          <w:rFonts w:ascii="JetBrains Mono" w:hAnsi="JetBrains Mono"/>
          <w:b w:val="0"/>
          <w:i w:val="0"/>
          <w:color w:val="B8913D"/>
          <w:sz w:val="16"/>
          <w:spacing w:val="30"/>
        </w:rPr>
        <w:t>§ 06  —  JUDGE PROFILE</w:t>
      </w:r>
      <w:bookmarkEnd w:id="6"/>
    </w:p>
    <w:p>
      <w:pPr>
        <w:keepNext/>
        <w:spacing w:before="240" w:after="200"/>
      </w:pPr>
      <w:r>
        <w:rPr>
          <w:rFonts w:ascii="Cormorant Garamond" w:hAnsi="Cormorant Garamond"/>
          <w:b w:val="0"/>
          <w:i w:val="0"/>
          <w:color w:val="1A1814"/>
          <w:sz w:val="44"/>
        </w:rPr>
        <w:t>Southwick</w:t>
      </w:r>
    </w:p>
    <w:tbl>
      <w:tblPr>
        <w:tblStyle w:val="TableGrid"/>
        <w:tblW w:type="auto" w:w="0"/>
        <w:tblLook w:firstColumn="1" w:firstRow="1" w:lastColumn="0" w:lastRow="0" w:noHBand="0" w:noVBand="1" w:val="04A0"/>
        <w:tblBorders>
          <w:top w:val="nil"/>
          <w:left w:val="nil"/>
          <w:bottom w:val="nil"/>
          <w:right w:val="nil"/>
          <w:insideH w:val="nil"/>
          <w:insideV w:val="nil"/>
        </w:tblBorders>
      </w:tblPr>
      <w:tblGrid>
        <w:gridCol w:w="2340"/>
        <w:gridCol w:w="2340"/>
        <w:gridCol w:w="2340"/>
        <w:gridCol w:w="2340"/>
      </w:tblGrid>
      <w:tr>
        <w:tc>
          <w:tcPr>
            <w:tcW w:type="dxa" w:w="2340"/>
            <w:shd w:val="clear" w:color="auto" w:fill="F5F2EB"/>
          </w:tcPr>
          <w:p>
            <w:pPr>
              <w:spacing w:before="80" w:after="80"/>
            </w:pPr>
            <w:r>
              <w:rPr>
                <w:rFonts w:ascii="Cormorant Garamond" w:hAnsi="Cormorant Garamond"/>
                <w:b/>
                <w:color w:val="1A1814"/>
                <w:sz w:val="32"/>
              </w:rPr>
              <w:t>HIGH-VARIANCE</w:t>
            </w:r>
          </w:p>
        </w:tc>
        <w:tc>
          <w:tcPr>
            <w:tcW w:type="dxa" w:w="2340"/>
            <w:shd w:val="clear" w:color="auto" w:fill="FBF8F1"/>
          </w:tcPr>
          <w:p>
            <w:pPr>
              <w:spacing w:before="80" w:after="80"/>
            </w:pPr>
            <w:r>
              <w:rPr>
                <w:rFonts w:ascii="JetBrains Mono" w:hAnsi="JetBrains Mono"/>
                <w:b/>
                <w:color w:val="C8392B"/>
                <w:sz w:val="18"/>
              </w:rPr>
              <w:t>avg 8.0 Qs/arg</w:t>
            </w:r>
          </w:p>
        </w:tc>
        <w:tc>
          <w:tcPr>
            <w:tcW w:type="dxa" w:w="2340"/>
            <w:shd w:val="clear" w:color="auto" w:fill="F5F2EB"/>
          </w:tcPr>
          <w:p>
            <w:pPr>
              <w:spacing w:before="80" w:after="80"/>
            </w:pPr>
            <w:r>
              <w:rPr>
                <w:rFonts w:ascii="JetBrains Mono" w:hAnsi="JetBrains Mono"/>
                <w:b w:val="0"/>
                <w:color w:val="4A4843"/>
                <w:sz w:val="18"/>
              </w:rPr>
              <w:t>10 cases</w:t>
            </w:r>
          </w:p>
        </w:tc>
        <w:tc>
          <w:tcPr>
            <w:tcW w:type="dxa" w:w="2340"/>
            <w:shd w:val="clear" w:color="auto" w:fill="FBF8F1"/>
          </w:tcPr>
          <w:p>
            <w:pPr>
              <w:spacing w:before="80" w:after="80"/>
            </w:pPr>
            <w:r>
              <w:rPr>
                <w:rFonts w:ascii="JetBrains Mono" w:hAnsi="JetBrains Mono"/>
                <w:b w:val="0"/>
                <w:color w:val="4A4843"/>
                <w:sz w:val="18"/>
              </w:rPr>
              <w:t>Neutral 66%  ·  Challenging 24%</w:t>
            </w:r>
          </w:p>
        </w:tc>
      </w:tr>
    </w:tbl>
    <w:p>
      <w:pPr>
        <w:spacing w:after="80"/>
      </w:pPr>
    </w:p>
    <w:p>
      <w:pPr>
        <w:keepNext/>
        <w:spacing w:before="280" w:after="120"/>
      </w:pPr>
      <w:r>
        <w:rPr>
          <w:rFonts w:ascii="Cormorant Garamond" w:hAnsi="Cormorant Garamond"/>
          <w:b w:val="0"/>
          <w:i w:val="0"/>
          <w:color w:val="1A1814"/>
          <w:sz w:val="32"/>
        </w:rPr>
        <w:t>Tonal Direction</w:t>
      </w:r>
    </w:p>
    <w:p>
      <w:pPr>
        <w:keepNext w:val="0"/>
        <w:spacing w:before="0" w:after="120"/>
      </w:pPr>
      <w:r>
        <w:rPr>
          <w:rFonts w:ascii="EB Garamond" w:hAnsi="EB Garamond"/>
          <w:b w:val="0"/>
          <w:i/>
          <w:color w:val="4A4843"/>
          <w:sz w:val="22"/>
        </w:rPr>
        <w:t>Across 6 case(s) in dataset, how Southwick's questioning tone differs by which attorney is at the podium.</w:t>
      </w:r>
    </w:p>
    <w:tbl>
      <w:tblPr>
        <w:tblStyle w:val="TableGrid"/>
        <w:tblW w:type="auto" w:w="0"/>
        <w:tblLook w:firstColumn="1" w:firstRow="1" w:lastColumn="0" w:lastRow="0" w:noHBand="0" w:noVBand="1" w:val="04A0"/>
      </w:tblPr>
      <w:tblGrid>
        <w:gridCol w:w="3120"/>
        <w:gridCol w:w="3120"/>
        <w:gridCol w:w="3120"/>
      </w:tblGrid>
      <w:tr>
        <w:tc>
          <w:tcPr>
            <w:tcW w:type="dxa" w:w="3120"/>
            <w:shd w:val="clear" w:color="auto" w:fill="1A1814"/>
          </w:tcPr>
          <w:p>
            <w:r>
              <w:rPr>
                <w:rFonts w:ascii="EB Garamond" w:hAnsi="EB Garamond"/>
                <w:b/>
                <w:color w:val="FBF8F1"/>
                <w:sz w:val="18"/>
              </w:rPr>
            </w:r>
          </w:p>
        </w:tc>
        <w:tc>
          <w:tcPr>
            <w:tcW w:type="dxa" w:w="3120"/>
            <w:shd w:val="clear" w:color="auto" w:fill="1A1814"/>
          </w:tcPr>
          <w:p>
            <w:r>
              <w:rPr>
                <w:rFonts w:ascii="EB Garamond" w:hAnsi="EB Garamond"/>
                <w:b/>
                <w:color w:val="FBF8F1"/>
                <w:sz w:val="18"/>
              </w:rPr>
              <w:t>Challenging %</w:t>
            </w:r>
          </w:p>
        </w:tc>
        <w:tc>
          <w:tcPr>
            <w:tcW w:type="dxa" w:w="3120"/>
            <w:shd w:val="clear" w:color="auto" w:fill="1A1814"/>
          </w:tcPr>
          <w:p>
            <w:r>
              <w:rPr>
                <w:rFonts w:ascii="EB Garamond" w:hAnsi="EB Garamond"/>
                <w:b/>
                <w:color w:val="FBF8F1"/>
                <w:sz w:val="18"/>
              </w:rPr>
              <w:t>Supportive %</w:t>
            </w:r>
          </w:p>
        </w:tc>
      </w:tr>
      <w:tr>
        <w:tc>
          <w:tcPr>
            <w:tcW w:type="dxa" w:w="3120"/>
            <w:shd w:val="clear" w:color="auto" w:fill="F5F2EB"/>
          </w:tcPr>
          <w:p>
            <w:r>
              <w:rPr>
                <w:rFonts w:ascii="EB Garamond" w:hAnsi="EB Garamond"/>
                <w:b/>
                <w:sz w:val="18"/>
              </w:rPr>
              <w:t>Petitioner's counsel (56 Qs)</w:t>
            </w:r>
          </w:p>
        </w:tc>
        <w:tc>
          <w:tcPr>
            <w:tcW w:type="dxa" w:w="3120"/>
          </w:tcPr>
          <w:p>
            <w:r>
              <w:rPr>
                <w:rFonts w:ascii="EB Garamond" w:hAnsi="EB Garamond"/>
                <w:sz w:val="18"/>
              </w:rPr>
              <w:t>20%</w:t>
            </w:r>
          </w:p>
        </w:tc>
        <w:tc>
          <w:tcPr>
            <w:tcW w:type="dxa" w:w="3120"/>
          </w:tcPr>
          <w:p>
            <w:r>
              <w:rPr>
                <w:rFonts w:ascii="EB Garamond" w:hAnsi="EB Garamond"/>
                <w:sz w:val="18"/>
              </w:rPr>
              <w:t>11%</w:t>
            </w:r>
          </w:p>
        </w:tc>
      </w:tr>
      <w:tr>
        <w:tc>
          <w:tcPr>
            <w:tcW w:type="dxa" w:w="3120"/>
            <w:shd w:val="clear" w:color="auto" w:fill="F5F2EB"/>
          </w:tcPr>
          <w:p>
            <w:r>
              <w:rPr>
                <w:rFonts w:ascii="EB Garamond" w:hAnsi="EB Garamond"/>
                <w:b/>
                <w:sz w:val="18"/>
              </w:rPr>
              <w:t>Government's counsel (3 Qs)</w:t>
            </w:r>
          </w:p>
        </w:tc>
        <w:tc>
          <w:tcPr>
            <w:tcW w:type="dxa" w:w="3120"/>
          </w:tcPr>
          <w:p>
            <w:r>
              <w:rPr>
                <w:rFonts w:ascii="EB Garamond" w:hAnsi="EB Garamond"/>
                <w:sz w:val="18"/>
              </w:rPr>
              <w:t>0%</w:t>
            </w:r>
          </w:p>
        </w:tc>
        <w:tc>
          <w:tcPr>
            <w:tcW w:type="dxa" w:w="3120"/>
          </w:tcPr>
          <w:p>
            <w:r>
              <w:rPr>
                <w:rFonts w:ascii="EB Garamond" w:hAnsi="EB Garamond"/>
                <w:sz w:val="18"/>
              </w:rPr>
              <w:t>33%</w:t>
            </w:r>
          </w:p>
        </w:tc>
      </w:tr>
    </w:tbl>
    <w:p>
      <w:pPr>
        <w:keepNext w:val="0"/>
        <w:spacing w:before="80" w:after="120"/>
      </w:pPr>
      <w:r>
        <w:rPr>
          <w:rFonts w:ascii="JetBrains Mono" w:hAnsi="JetBrains Mono"/>
          <w:b w:val="0"/>
          <w:i w:val="0"/>
          <w:color w:val="C8392B"/>
          <w:sz w:val="16"/>
          <w:spacing w:val="30"/>
        </w:rPr>
        <w:t xml:space="preserve">DIRECTIONAL PATTERN  </w:t>
      </w:r>
      <w:r>
        <w:rPr>
          <w:rFonts w:ascii="EB Garamond" w:hAnsi="EB Garamond"/>
          <w:b w:val="0"/>
          <w:i/>
          <w:color w:val="4A4843"/>
          <w:sz w:val="22"/>
        </w:rPr>
        <w:t>Southwick is meaningfully more challenging toward petitioner's counsel (20 percentage point gap).</w:t>
      </w:r>
    </w:p>
    <w:p>
      <w:pPr>
        <w:keepNext w:val="0"/>
        <w:spacing w:before="160" w:after="160"/>
        <w:pBdr>
          <w:bottom w:val="single" w:sz="6" w:space="1" w:color="CFC8B8"/>
        </w:pBdr>
      </w:pPr>
    </w:p>
    <w:p>
      <w:pPr>
        <w:keepNext/>
        <w:spacing w:before="280" w:after="120"/>
      </w:pPr>
      <w:r>
        <w:rPr>
          <w:rFonts w:ascii="Cormorant Garamond" w:hAnsi="Cormorant Garamond"/>
          <w:b w:val="0"/>
          <w:i w:val="0"/>
          <w:color w:val="1A1814"/>
          <w:sz w:val="32"/>
        </w:rPr>
        <w:t>Distinctive Patterns</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PATTERN</w:t>
            </w:r>
          </w:p>
          <w:p>
            <w:pPr>
              <w:spacing w:after="40"/>
              <w:ind w:left="259"/>
            </w:pPr>
            <w:r>
              <w:rPr>
                <w:rFonts w:ascii="EB Garamond" w:hAnsi="EB Garamond"/>
                <w:b w:val="0"/>
                <w:i w:val="0"/>
                <w:color w:val="1A1814"/>
                <w:sz w:val="22"/>
              </w:rPr>
              <w:t>Tests whether counsel understands the practical equity of a remedy even when opposing rigid legal interpretation (‘The rigidity of is not something that necessarily you’re persuading us with’ after explaining ‘it does seem to me that there’s some equity in what the district judge said’)</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PATTERN</w:t>
            </w:r>
          </w:p>
          <w:p>
            <w:pPr>
              <w:spacing w:after="40"/>
              <w:ind w:left="259"/>
            </w:pPr>
            <w:r>
              <w:rPr>
                <w:rFonts w:ascii="EB Garamond" w:hAnsi="EB Garamond"/>
                <w:b w:val="0"/>
                <w:i w:val="0"/>
                <w:color w:val="1A1814"/>
                <w:sz w:val="22"/>
              </w:rPr>
              <w:t>Demands concrete evidence of how disputed factual issues were resolved at trial level before accepting appellate arguments (‘Who dealt with that, jury, judge, and in what way in the district court?’ and ‘how do we know what you’re saying has been dealt with at the district court?’)</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PATTERN</w:t>
            </w:r>
          </w:p>
          <w:p>
            <w:pPr>
              <w:spacing w:after="40"/>
              <w:ind w:left="259"/>
            </w:pPr>
            <w:r>
              <w:rPr>
                <w:rFonts w:ascii="EB Garamond" w:hAnsi="EB Garamond"/>
                <w:b w:val="0"/>
                <w:i w:val="0"/>
                <w:color w:val="1A1814"/>
                <w:sz w:val="22"/>
              </w:rPr>
              <w:t>Probes whether counsel can distinguish between timing of negligent acts versus timing of actual injury in malpractice claims (‘When was there an injury on all these different theories?’ after breaking down specific acts like ‘failing to advise about gifts to relatives prohibited by the bankruptcy code’)</w:t>
            </w:r>
          </w:p>
        </w:tc>
      </w:tr>
    </w:tbl>
    <w:p>
      <w:pPr>
        <w:keepNext w:val="0"/>
        <w:spacing w:before="0" w:after="160"/>
      </w:pPr>
    </w:p>
    <w:p>
      <w:pPr>
        <w:keepNext/>
        <w:spacing w:before="280" w:after="120"/>
      </w:pPr>
      <w:r>
        <w:rPr>
          <w:rFonts w:ascii="Cormorant Garamond" w:hAnsi="Cormorant Garamond"/>
          <w:b w:val="0"/>
          <w:i w:val="0"/>
          <w:color w:val="1A1814"/>
          <w:sz w:val="32"/>
        </w:rPr>
        <w:t>Rejection Triggers</w:t>
      </w:r>
    </w:p>
    <w:p>
      <w:pPr>
        <w:keepNext w:val="0"/>
        <w:spacing w:before="0" w:after="200"/>
      </w:pPr>
      <w:r>
        <w:rPr>
          <w:rFonts w:ascii="EB Garamond" w:hAnsi="EB Garamond"/>
          <w:b w:val="0"/>
          <w:i/>
          <w:color w:val="4A4843"/>
          <w:sz w:val="22"/>
        </w:rPr>
        <w:t>What makes Southwick shut down an argument.</w:t>
      </w:r>
    </w:p>
    <w:p>
      <w:pPr>
        <w:keepNext w:val="0"/>
        <w:spacing w:before="200" w:after="40"/>
      </w:pPr>
      <w:r>
        <w:rPr>
          <w:rFonts w:ascii="JetBrains Mono" w:hAnsi="JetBrains Mono"/>
          <w:b w:val="0"/>
          <w:i w:val="0"/>
          <w:color w:val="B8913D"/>
          <w:sz w:val="16"/>
        </w:rPr>
        <w:t xml:space="preserve">· </w:t>
      </w:r>
      <w:r>
        <w:rPr>
          <w:rFonts w:ascii="JetBrains Mono" w:hAnsi="JetBrains Mono"/>
          <w:b w:val="0"/>
          <w:i w:val="0"/>
          <w:color w:val="6B6862"/>
          <w:sz w:val="16"/>
          <w:spacing w:val="30"/>
        </w:rPr>
        <w:t>REJECTS LOWER COURT REASONING AS TOO FACILE</w:t>
      </w:r>
    </w:p>
    <w:p>
      <w:pPr>
        <w:keepNext w:val="0"/>
        <w:spacing w:before="0" w:after="120"/>
      </w:pPr>
      <w:r>
        <w:rPr>
          <w:rFonts w:ascii="EB Garamond" w:hAnsi="EB Garamond"/>
          <w:b w:val="0"/>
          <w:i w:val="0"/>
          <w:color w:val="1A1814"/>
          <w:sz w:val="22"/>
        </w:rPr>
        <w:t>Southwick has shown a pattern of pushing back on appellants who frame the district court’s reasoning as plainly wrong, instead signaling that the lower court may have had a legitimate equitable or practical basis for its conclusion — even when the appellant’s legal argument appears technically sound. He tends to articulate an alternative rationale for the district court’s outcome before the appellant finishes making its case.</w:t>
      </w:r>
    </w:p>
    <w:p>
      <w:pPr>
        <w:keepNext w:val="0"/>
        <w:spacing w:before="0" w:after="80"/>
        <w:ind w:left="259"/>
      </w:pPr>
      <w:r>
        <w:rPr>
          <w:rFonts w:ascii="Cormorant Garamond" w:hAnsi="Cormorant Garamond"/>
          <w:b w:val="0"/>
          <w:i w:val="0"/>
          <w:color w:val="8A6F33"/>
          <w:sz w:val="22"/>
        </w:rPr>
        <w:t>“</w:t>
      </w:r>
      <w:r>
        <w:rPr>
          <w:rFonts w:ascii="EB Garamond" w:hAnsi="EB Garamond"/>
          <w:b w:val="0"/>
          <w:i/>
          <w:color w:val="1A1814"/>
          <w:sz w:val="22"/>
        </w:rPr>
        <w:t>it does seem to me that when the district judge was looking at this, they got the benefit of the TTLA in the sense that it stopped, and I’m sure</w:t>
      </w:r>
      <w:r>
        <w:rPr>
          <w:rFonts w:ascii="Cormorant Garamond" w:hAnsi="Cormorant Garamond"/>
          <w:b w:val="0"/>
          <w:i w:val="0"/>
          <w:color w:val="8A6F33"/>
          <w:sz w:val="22"/>
        </w:rPr>
        <w:t>”</w:t>
      </w:r>
      <w:r>
        <w:rPr>
          <w:rFonts w:ascii="JetBrains Mono" w:hAnsi="JetBrains Mono"/>
          <w:b w:val="0"/>
          <w:i w:val="0"/>
          <w:color w:val="9A9588"/>
          <w:sz w:val="18"/>
        </w:rPr>
        <w:t xml:space="preserve">  —  </w:t>
      </w:r>
      <w:r>
        <w:rPr>
          <w:rFonts w:ascii="EB Garamond" w:hAnsi="EB Garamond"/>
          <w:b w:val="0"/>
          <w:i/>
          <w:color w:val="6B6862"/>
          <w:sz w:val="18"/>
        </w:rPr>
        <w:t>Domain Protection V. Sea Wasp 20 40411_10 8 2021_Transcript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IN THIS CASE</w:t>
            </w:r>
          </w:p>
          <w:p>
            <w:pPr>
              <w:spacing w:after="40"/>
              <w:ind w:left="259"/>
            </w:pPr>
            <w:r>
              <w:rPr>
                <w:rFonts w:ascii="EB Garamond" w:hAnsi="EB Garamond"/>
                <w:b w:val="0"/>
                <w:i w:val="0"/>
                <w:color w:val="1A1814"/>
                <w:sz w:val="22"/>
              </w:rPr>
              <w:t>Alta Power’s core appellate argument is that the district court’s summary judgment ruling was a straightforward legal error — an ‘exceedingly straightforward’ misreading of the contract and Texas law. Southwick is likely to probe whether the district court’s conclusion had a defensible practical logic, particularly the view that GE’s eventual subcontractor status and the broad ‘connected in any way’ language together gave the lower court at least a plausible basis for ruling as it did, even if Alta disputes the legal framing.</w:t>
            </w:r>
          </w:p>
        </w:tc>
      </w:tr>
    </w:tbl>
    <w:p>
      <w:pPr>
        <w:keepNext w:val="0"/>
        <w:spacing w:before="0" w:after="160"/>
      </w:pPr>
    </w:p>
    <w:p>
      <w:pPr>
        <w:keepNext w:val="0"/>
        <w:spacing w:before="160" w:after="80"/>
        <w:pBdr>
          <w:bottom w:val="single" w:sz="6" w:space="1" w:color="CFC8B8"/>
        </w:pBdr>
      </w:pPr>
    </w:p>
    <w:p>
      <w:pPr>
        <w:keepNext w:val="0"/>
        <w:spacing w:before="200" w:after="40"/>
      </w:pPr>
      <w:r>
        <w:rPr>
          <w:rFonts w:ascii="JetBrains Mono" w:hAnsi="JetBrains Mono"/>
          <w:b w:val="0"/>
          <w:i w:val="0"/>
          <w:color w:val="B8913D"/>
          <w:sz w:val="16"/>
        </w:rPr>
        <w:t xml:space="preserve">· </w:t>
      </w:r>
      <w:r>
        <w:rPr>
          <w:rFonts w:ascii="JetBrains Mono" w:hAnsi="JetBrains Mono"/>
          <w:b w:val="0"/>
          <w:i w:val="0"/>
          <w:color w:val="6B6862"/>
          <w:sz w:val="16"/>
          <w:spacing w:val="30"/>
        </w:rPr>
        <w:t>CHALLENGES UNPROVEN INJURY FINDINGS DIRECTLY</w:t>
      </w:r>
    </w:p>
    <w:p>
      <w:pPr>
        <w:keepNext w:val="0"/>
        <w:spacing w:before="0" w:after="120"/>
      </w:pPr>
      <w:r>
        <w:rPr>
          <w:rFonts w:ascii="EB Garamond" w:hAnsi="EB Garamond"/>
          <w:b w:val="0"/>
          <w:i w:val="0"/>
          <w:color w:val="1A1814"/>
          <w:sz w:val="22"/>
        </w:rPr>
        <w:t>Southwick tends to press hard on the gap between theoretical harm and an actual adjudicated finding of injury or damages, signaling that a party’s ability to articulate how harm could have occurred is insufficient without a factual finding anchoring it. He has shown a pattern of treating the absence of a formal finding as a dispositive problem for the party bearing the burden.</w:t>
      </w:r>
    </w:p>
    <w:p>
      <w:pPr>
        <w:keepNext w:val="0"/>
        <w:spacing w:before="0" w:after="80"/>
        <w:ind w:left="259"/>
      </w:pPr>
      <w:r>
        <w:rPr>
          <w:rFonts w:ascii="Cormorant Garamond" w:hAnsi="Cormorant Garamond"/>
          <w:b w:val="0"/>
          <w:i w:val="0"/>
          <w:color w:val="8A6F33"/>
          <w:sz w:val="22"/>
        </w:rPr>
        <w:t>“</w:t>
      </w:r>
      <w:r>
        <w:rPr>
          <w:rFonts w:ascii="EB Garamond" w:hAnsi="EB Garamond"/>
          <w:b w:val="0"/>
          <w:i/>
          <w:color w:val="1A1814"/>
          <w:sz w:val="22"/>
        </w:rPr>
        <w:t>if an injury could have arisen from some of the claims, there’s never been a finding that that injury occurred.</w:t>
      </w:r>
      <w:r>
        <w:rPr>
          <w:rFonts w:ascii="Cormorant Garamond" w:hAnsi="Cormorant Garamond"/>
          <w:b w:val="0"/>
          <w:i w:val="0"/>
          <w:color w:val="8A6F33"/>
          <w:sz w:val="22"/>
        </w:rPr>
        <w:t>”</w:t>
      </w:r>
      <w:r>
        <w:rPr>
          <w:rFonts w:ascii="JetBrains Mono" w:hAnsi="JetBrains Mono"/>
          <w:b w:val="0"/>
          <w:i w:val="0"/>
          <w:color w:val="9A9588"/>
          <w:sz w:val="18"/>
        </w:rPr>
        <w:t xml:space="preserve">  —  </w:t>
      </w:r>
      <w:r>
        <w:rPr>
          <w:rFonts w:ascii="EB Garamond" w:hAnsi="EB Garamond"/>
          <w:b w:val="0"/>
          <w:i/>
          <w:color w:val="6B6862"/>
          <w:sz w:val="18"/>
        </w:rPr>
        <w:t>In Re Cantu 14 40597_2 4 2015_Transcript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IN THIS CASE</w:t>
            </w:r>
          </w:p>
          <w:p>
            <w:pPr>
              <w:spacing w:after="40"/>
              <w:ind w:left="259"/>
            </w:pPr>
            <w:r>
              <w:rPr>
                <w:rFonts w:ascii="EB Garamond" w:hAnsi="EB Garamond"/>
                <w:b w:val="0"/>
                <w:i w:val="0"/>
                <w:color w:val="1A1814"/>
                <w:sz w:val="22"/>
              </w:rPr>
              <w:t>Alta Power’s lost-profits claim rests on a chain of events — securing financing, building plants, operating before Winter Storm Uri — that never occurred and were never established through any factual finding below. Southwick is likely to press on whether Alta can point to any concrete finding, as opposed to a theoretical damages model, that establishes the fact of injury with the certainty Texas law requires, particularly given that 88 lenders declined to finance the project.</w:t>
            </w:r>
          </w:p>
        </w:tc>
      </w:tr>
    </w:tbl>
    <w:p>
      <w:pPr>
        <w:keepNext w:val="0"/>
        <w:spacing w:before="0" w:after="160"/>
      </w:pPr>
    </w:p>
    <w:p>
      <w:pPr>
        <w:keepNext w:val="0"/>
        <w:spacing w:before="160" w:after="80"/>
        <w:pBdr>
          <w:bottom w:val="single" w:sz="6" w:space="1" w:color="CFC8B8"/>
        </w:pBdr>
      </w:pPr>
    </w:p>
    <w:p>
      <w:pPr>
        <w:keepNext w:val="0"/>
        <w:spacing w:before="200" w:after="40"/>
      </w:pPr>
      <w:r>
        <w:rPr>
          <w:rFonts w:ascii="JetBrains Mono" w:hAnsi="JetBrains Mono"/>
          <w:b w:val="0"/>
          <w:i w:val="0"/>
          <w:color w:val="B8913D"/>
          <w:sz w:val="16"/>
        </w:rPr>
        <w:t xml:space="preserve">· </w:t>
      </w:r>
      <w:r>
        <w:rPr>
          <w:rFonts w:ascii="JetBrains Mono" w:hAnsi="JetBrains Mono"/>
          <w:b w:val="0"/>
          <w:i w:val="0"/>
          <w:color w:val="6B6862"/>
          <w:sz w:val="16"/>
          <w:spacing w:val="30"/>
        </w:rPr>
        <w:t>PRESSES ON BREADTH OF PROPOSED LEGAL RULE</w:t>
      </w:r>
    </w:p>
    <w:p>
      <w:pPr>
        <w:keepNext w:val="0"/>
        <w:spacing w:before="0" w:after="120"/>
      </w:pPr>
      <w:r>
        <w:rPr>
          <w:rFonts w:ascii="EB Garamond" w:hAnsi="EB Garamond"/>
          <w:b w:val="0"/>
          <w:i w:val="0"/>
          <w:color w:val="1A1814"/>
          <w:sz w:val="22"/>
        </w:rPr>
        <w:t>Southwick tends to reframe an attorney’s narrow characterization of a rule by suggesting it operates more broadly than the attorney is willing to concede, effectively testing whether the proposed principle would have sweeping consequences the attorney has not accounted for. He is likely to reject a framing that artificially cabins the scope of a legal rule when the text or logic of the rule points toward broader application.</w:t>
      </w:r>
    </w:p>
    <w:p>
      <w:pPr>
        <w:keepNext w:val="0"/>
        <w:spacing w:before="0" w:after="80"/>
        <w:ind w:left="259"/>
      </w:pPr>
      <w:r>
        <w:rPr>
          <w:rFonts w:ascii="Cormorant Garamond" w:hAnsi="Cormorant Garamond"/>
          <w:b w:val="0"/>
          <w:i w:val="0"/>
          <w:color w:val="8A6F33"/>
          <w:sz w:val="22"/>
        </w:rPr>
        <w:t>“</w:t>
      </w:r>
      <w:r>
        <w:rPr>
          <w:rFonts w:ascii="EB Garamond" w:hAnsi="EB Garamond"/>
          <w:b w:val="0"/>
          <w:i/>
          <w:color w:val="1A1814"/>
          <w:sz w:val="22"/>
        </w:rPr>
        <w:t>isn’t that the effect of it? Well, I — because it isn’t a very general rule. All rules applicable to parties are applicable to non parties as relevant. That’s not the language, but isn’t that the effect of it?</w:t>
      </w:r>
      <w:r>
        <w:rPr>
          <w:rFonts w:ascii="Cormorant Garamond" w:hAnsi="Cormorant Garamond"/>
          <w:b w:val="0"/>
          <w:i w:val="0"/>
          <w:color w:val="8A6F33"/>
          <w:sz w:val="22"/>
        </w:rPr>
        <w:t>”</w:t>
      </w:r>
      <w:r>
        <w:rPr>
          <w:rFonts w:ascii="JetBrains Mono" w:hAnsi="JetBrains Mono"/>
          <w:b w:val="0"/>
          <w:i w:val="0"/>
          <w:color w:val="9A9588"/>
          <w:sz w:val="18"/>
        </w:rPr>
        <w:t xml:space="preserve">  —  </w:t>
      </w:r>
      <w:r>
        <w:rPr>
          <w:rFonts w:ascii="EB Garamond" w:hAnsi="EB Garamond"/>
          <w:b w:val="0"/>
          <w:i/>
          <w:color w:val="6B6862"/>
          <w:sz w:val="18"/>
        </w:rPr>
        <w:t>Ayestas V. Harris County 25 70014_02 04 2026</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IN THIS CASE</w:t>
            </w:r>
          </w:p>
          <w:p>
            <w:pPr>
              <w:spacing w:after="40"/>
              <w:ind w:left="259"/>
            </w:pPr>
            <w:r>
              <w:rPr>
                <w:rFonts w:ascii="EB Garamond" w:hAnsi="EB Garamond"/>
                <w:b w:val="0"/>
                <w:i w:val="0"/>
                <w:color w:val="1A1814"/>
                <w:sz w:val="22"/>
              </w:rPr>
              <w:t>Alta Power argues that the consequential-damages waiver covers only conduct GE performed in its capacity as a subcontractor, and only after it became one. Southwick is likely to press on whether that capacity-and-timing limitation has any textual basis or limiting principle — and may suggest that the waiver’s plain language (‘connected in any way,’ ‘any claim,’ ‘any cause of action’) operates far more broadly than Alta’s proposed reading, effectively rejecting the narrowing construction Alta needs to survive summary judgment.</w:t>
            </w:r>
          </w:p>
        </w:tc>
      </w:tr>
    </w:tbl>
    <w:p>
      <w:pPr>
        <w:keepNext w:val="0"/>
        <w:spacing w:before="0" w:after="160"/>
      </w:pPr>
    </w:p>
    <w:p>
      <w:pPr>
        <w:keepNext w:val="0"/>
        <w:spacing w:before="160" w:after="80"/>
        <w:pBdr>
          <w:bottom w:val="single" w:sz="6" w:space="1" w:color="CFC8B8"/>
        </w:pBdr>
      </w:pPr>
    </w:p>
    <w:p>
      <w:r>
        <w:br w:type="page"/>
      </w:r>
    </w:p>
    <w:p>
      <w:bookmarkStart w:id="7" w:name="bm_profile_engelhardt"/>
      <w:pPr>
        <w:keepNext w:val="0"/>
        <w:spacing w:before="0" w:after="40"/>
      </w:pPr>
      <w:r>
        <w:rPr>
          <w:rFonts w:ascii="JetBrains Mono" w:hAnsi="JetBrains Mono"/>
          <w:b w:val="0"/>
          <w:i w:val="0"/>
          <w:color w:val="B8913D"/>
          <w:sz w:val="16"/>
          <w:spacing w:val="30"/>
        </w:rPr>
        <w:t>§ 06  —  JUDGE PROFILE</w:t>
      </w:r>
      <w:bookmarkEnd w:id="7"/>
    </w:p>
    <w:p>
      <w:pPr>
        <w:keepNext/>
        <w:spacing w:before="240" w:after="200"/>
      </w:pPr>
      <w:r>
        <w:rPr>
          <w:rFonts w:ascii="Cormorant Garamond" w:hAnsi="Cormorant Garamond"/>
          <w:b w:val="0"/>
          <w:i w:val="0"/>
          <w:color w:val="1A1814"/>
          <w:sz w:val="44"/>
        </w:rPr>
        <w:t>Engelhardt</w:t>
      </w:r>
    </w:p>
    <w:tbl>
      <w:tblPr>
        <w:tblStyle w:val="TableGrid"/>
        <w:tblW w:type="auto" w:w="0"/>
        <w:tblLook w:firstColumn="1" w:firstRow="1" w:lastColumn="0" w:lastRow="0" w:noHBand="0" w:noVBand="1" w:val="04A0"/>
        <w:tblBorders>
          <w:top w:val="nil"/>
          <w:left w:val="nil"/>
          <w:bottom w:val="nil"/>
          <w:right w:val="nil"/>
          <w:insideH w:val="nil"/>
          <w:insideV w:val="nil"/>
        </w:tblBorders>
      </w:tblPr>
      <w:tblGrid>
        <w:gridCol w:w="2340"/>
        <w:gridCol w:w="2340"/>
        <w:gridCol w:w="2340"/>
        <w:gridCol w:w="2340"/>
      </w:tblGrid>
      <w:tr>
        <w:tc>
          <w:tcPr>
            <w:tcW w:type="dxa" w:w="2340"/>
            <w:shd w:val="clear" w:color="auto" w:fill="F5F2EB"/>
          </w:tcPr>
          <w:p>
            <w:pPr>
              <w:spacing w:before="80" w:after="80"/>
            </w:pPr>
            <w:r>
              <w:rPr>
                <w:rFonts w:ascii="Cormorant Garamond" w:hAnsi="Cormorant Garamond"/>
                <w:b/>
                <w:color w:val="1A1814"/>
                <w:sz w:val="32"/>
              </w:rPr>
              <w:t>CONSISTENT</w:t>
            </w:r>
          </w:p>
        </w:tc>
        <w:tc>
          <w:tcPr>
            <w:tcW w:type="dxa" w:w="2340"/>
            <w:shd w:val="clear" w:color="auto" w:fill="FBF8F1"/>
          </w:tcPr>
          <w:p>
            <w:pPr>
              <w:spacing w:before="80" w:after="80"/>
            </w:pPr>
            <w:r>
              <w:rPr>
                <w:rFonts w:ascii="JetBrains Mono" w:hAnsi="JetBrains Mono"/>
                <w:b/>
                <w:color w:val="6B6862"/>
                <w:sz w:val="18"/>
              </w:rPr>
              <w:t>avg 3.5 Qs/arg</w:t>
            </w:r>
          </w:p>
        </w:tc>
        <w:tc>
          <w:tcPr>
            <w:tcW w:type="dxa" w:w="2340"/>
            <w:shd w:val="clear" w:color="auto" w:fill="F5F2EB"/>
          </w:tcPr>
          <w:p>
            <w:pPr>
              <w:spacing w:before="80" w:after="80"/>
            </w:pPr>
            <w:r>
              <w:rPr>
                <w:rFonts w:ascii="JetBrains Mono" w:hAnsi="JetBrains Mono"/>
                <w:b w:val="0"/>
                <w:color w:val="4A4843"/>
                <w:sz w:val="18"/>
              </w:rPr>
              <w:t>4 cases</w:t>
            </w:r>
          </w:p>
        </w:tc>
        <w:tc>
          <w:tcPr>
            <w:tcW w:type="dxa" w:w="2340"/>
            <w:shd w:val="clear" w:color="auto" w:fill="FBF8F1"/>
          </w:tcPr>
          <w:p>
            <w:pPr>
              <w:spacing w:before="80" w:after="80"/>
            </w:pPr>
            <w:r>
              <w:rPr>
                <w:rFonts w:ascii="JetBrains Mono" w:hAnsi="JetBrains Mono"/>
                <w:b w:val="0"/>
                <w:color w:val="4A4843"/>
                <w:sz w:val="18"/>
              </w:rPr>
              <w:t>Neutral 50%  ·  Challenging 29%</w:t>
            </w:r>
          </w:p>
        </w:tc>
      </w:tr>
    </w:tbl>
    <w:p>
      <w:pPr>
        <w:spacing w:after="80"/>
      </w:pPr>
    </w:p>
    <w:p>
      <w:pPr>
        <w:keepNext/>
        <w:spacing w:before="280" w:after="120"/>
      </w:pPr>
      <w:r>
        <w:rPr>
          <w:rFonts w:ascii="Cormorant Garamond" w:hAnsi="Cormorant Garamond"/>
          <w:b w:val="0"/>
          <w:i w:val="0"/>
          <w:color w:val="1A1814"/>
          <w:sz w:val="32"/>
        </w:rPr>
        <w:t>Distinctive Patterns</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PATTERN</w:t>
            </w:r>
          </w:p>
          <w:p>
            <w:pPr>
              <w:spacing w:after="40"/>
              <w:ind w:left="259"/>
            </w:pPr>
            <w:r>
              <w:rPr>
                <w:rFonts w:ascii="EB Garamond" w:hAnsi="EB Garamond"/>
                <w:b w:val="0"/>
                <w:i w:val="0"/>
                <w:color w:val="1A1814"/>
                <w:sz w:val="22"/>
              </w:rPr>
              <w:t>Probes whether counsel understands the precise calculation or characterization of disputed amounts/terms, requiring specific numbers or definitions rather than general principles (‘The figure, the 80% it seems to be some confusion as to how that is calculated into the amount of the judgment... do you think that number is correct, or do you think it should be more?’)</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PATTERN</w:t>
            </w:r>
          </w:p>
          <w:p>
            <w:pPr>
              <w:spacing w:after="40"/>
              <w:ind w:left="259"/>
            </w:pPr>
            <w:r>
              <w:rPr>
                <w:rFonts w:ascii="EB Garamond" w:hAnsi="EB Garamond"/>
                <w:b w:val="0"/>
                <w:i w:val="0"/>
                <w:color w:val="1A1814"/>
                <w:sz w:val="22"/>
              </w:rPr>
              <w:t>Tests counsel’s ability to distinguish between what they are arguing versus what the lower court or opposing party says they must establish (‘do you think there’s a difference between what the magistrate says you must establish for the breach of contract as opposed to what you’re arguing?’)</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PATTERN</w:t>
            </w:r>
          </w:p>
          <w:p>
            <w:pPr>
              <w:spacing w:after="40"/>
              <w:ind w:left="259"/>
            </w:pPr>
            <w:r>
              <w:rPr>
                <w:rFonts w:ascii="EB Garamond" w:hAnsi="EB Garamond"/>
                <w:b w:val="0"/>
                <w:i w:val="0"/>
                <w:color w:val="1A1814"/>
                <w:sz w:val="22"/>
              </w:rPr>
              <w:t>Demands concrete itemization of what specific actions or remedies are being sought rather than accepting broad requests (‘if you could itemize for us what you, what has not happened that you believe under the CVRA should have happened’)</w:t>
            </w:r>
          </w:p>
        </w:tc>
      </w:tr>
    </w:tbl>
    <w:p>
      <w:pPr>
        <w:keepNext w:val="0"/>
        <w:spacing w:before="0" w:after="160"/>
      </w:pPr>
    </w:p>
    <w:p>
      <w:pPr>
        <w:keepNext/>
        <w:spacing w:before="280" w:after="120"/>
      </w:pPr>
      <w:r>
        <w:rPr>
          <w:rFonts w:ascii="Cormorant Garamond" w:hAnsi="Cormorant Garamond"/>
          <w:b w:val="0"/>
          <w:i w:val="0"/>
          <w:color w:val="1A1814"/>
          <w:sz w:val="32"/>
        </w:rPr>
        <w:t>Rejection Triggers</w:t>
      </w:r>
    </w:p>
    <w:p>
      <w:pPr>
        <w:keepNext w:val="0"/>
        <w:spacing w:before="0" w:after="200"/>
      </w:pPr>
      <w:r>
        <w:rPr>
          <w:rFonts w:ascii="EB Garamond" w:hAnsi="EB Garamond"/>
          <w:b w:val="0"/>
          <w:i/>
          <w:color w:val="4A4843"/>
          <w:sz w:val="22"/>
        </w:rPr>
        <w:t>What makes Engelhardt shut down an argument.</w:t>
      </w:r>
    </w:p>
    <w:p>
      <w:pPr>
        <w:keepNext w:val="0"/>
        <w:spacing w:before="200" w:after="40"/>
      </w:pPr>
      <w:r>
        <w:rPr>
          <w:rFonts w:ascii="JetBrains Mono" w:hAnsi="JetBrains Mono"/>
          <w:b w:val="0"/>
          <w:i w:val="0"/>
          <w:color w:val="B8913D"/>
          <w:sz w:val="16"/>
        </w:rPr>
        <w:t xml:space="preserve">· </w:t>
      </w:r>
      <w:r>
        <w:rPr>
          <w:rFonts w:ascii="JetBrains Mono" w:hAnsi="JetBrains Mono"/>
          <w:b w:val="0"/>
          <w:i w:val="0"/>
          <w:color w:val="6B6862"/>
          <w:sz w:val="16"/>
          <w:spacing w:val="30"/>
        </w:rPr>
        <w:t>PRESSES ON FRAMING VS. LOWER COURT RULING</w:t>
      </w:r>
    </w:p>
    <w:p>
      <w:pPr>
        <w:keepNext w:val="0"/>
        <w:spacing w:before="0" w:after="120"/>
      </w:pPr>
      <w:r>
        <w:rPr>
          <w:rFonts w:ascii="EB Garamond" w:hAnsi="EB Garamond"/>
          <w:b w:val="0"/>
          <w:i w:val="0"/>
          <w:color w:val="1A1814"/>
          <w:sz w:val="22"/>
        </w:rPr>
        <w:t>Engelhardt tends to interrupt when he perceives a gap between how the lower court framed the controlling legal standard and how counsel is now characterizing it on appeal, signaling that he has already identified the discrepancy and wants counsel to confront it directly rather than paper over it.</w:t>
      </w:r>
    </w:p>
    <w:p>
      <w:pPr>
        <w:keepNext w:val="0"/>
        <w:spacing w:before="0" w:after="80"/>
        <w:ind w:left="259"/>
      </w:pPr>
      <w:r>
        <w:rPr>
          <w:rFonts w:ascii="Cormorant Garamond" w:hAnsi="Cormorant Garamond"/>
          <w:b w:val="0"/>
          <w:i w:val="0"/>
          <w:color w:val="8A6F33"/>
          <w:sz w:val="22"/>
        </w:rPr>
        <w:t>“</w:t>
      </w:r>
      <w:r>
        <w:rPr>
          <w:rFonts w:ascii="EB Garamond" w:hAnsi="EB Garamond"/>
          <w:b w:val="0"/>
          <w:i/>
          <w:color w:val="1A1814"/>
          <w:sz w:val="22"/>
        </w:rPr>
        <w:t>counsel, excuse me, do you think there’s a difference between what the magistrate says you must establish for the breach of contract as opposed to what you’re arguing?</w:t>
      </w:r>
      <w:r>
        <w:rPr>
          <w:rFonts w:ascii="Cormorant Garamond" w:hAnsi="Cormorant Garamond"/>
          <w:b w:val="0"/>
          <w:i w:val="0"/>
          <w:color w:val="8A6F33"/>
          <w:sz w:val="22"/>
        </w:rPr>
        <w:t>”</w:t>
      </w:r>
      <w:r>
        <w:rPr>
          <w:rFonts w:ascii="JetBrains Mono" w:hAnsi="JetBrains Mono"/>
          <w:b w:val="0"/>
          <w:i w:val="0"/>
          <w:color w:val="9A9588"/>
          <w:sz w:val="18"/>
        </w:rPr>
        <w:t xml:space="preserve">  —  </w:t>
      </w:r>
      <w:r>
        <w:rPr>
          <w:rFonts w:ascii="EB Garamond" w:hAnsi="EB Garamond"/>
          <w:b w:val="0"/>
          <w:i/>
          <w:color w:val="6B6862"/>
          <w:sz w:val="18"/>
        </w:rPr>
        <w:t>Wilson V. Centene 24 50044_10 16 2024_Transcript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IN THIS CASE</w:t>
            </w:r>
          </w:p>
          <w:p>
            <w:pPr>
              <w:spacing w:after="40"/>
              <w:ind w:left="259"/>
            </w:pPr>
            <w:r>
              <w:rPr>
                <w:rFonts w:ascii="EB Garamond" w:hAnsi="EB Garamond"/>
                <w:b w:val="0"/>
                <w:i w:val="0"/>
                <w:color w:val="1A1814"/>
                <w:sz w:val="22"/>
              </w:rPr>
              <w:t>Alta Power’s core argument reframes the district court’s subcontractor-scope ruling as a straightforward misreading of the Master Agreement, but the district court itself described the case as having an ‘exceedingly straightforward answer’ under plain text — Engelhardt is likely to press whether what Alta now argues the Agreement requires is genuinely different from what the district court said the Agreement plainly provides, and whether counsel acknowledges that gap.</w:t>
            </w:r>
          </w:p>
        </w:tc>
      </w:tr>
    </w:tbl>
    <w:p>
      <w:pPr>
        <w:keepNext w:val="0"/>
        <w:spacing w:before="0" w:after="160"/>
      </w:pPr>
    </w:p>
    <w:p>
      <w:pPr>
        <w:keepNext w:val="0"/>
        <w:spacing w:before="160" w:after="80"/>
        <w:pBdr>
          <w:bottom w:val="single" w:sz="6" w:space="1" w:color="CFC8B8"/>
        </w:pBdr>
      </w:pPr>
    </w:p>
    <w:p>
      <w:pPr>
        <w:keepNext w:val="0"/>
        <w:spacing w:before="200" w:after="40"/>
      </w:pPr>
      <w:r>
        <w:rPr>
          <w:rFonts w:ascii="JetBrains Mono" w:hAnsi="JetBrains Mono"/>
          <w:b w:val="0"/>
          <w:i w:val="0"/>
          <w:color w:val="B8913D"/>
          <w:sz w:val="16"/>
        </w:rPr>
        <w:t xml:space="preserve">· </w:t>
      </w:r>
      <w:r>
        <w:rPr>
          <w:rFonts w:ascii="JetBrains Mono" w:hAnsi="JetBrains Mono"/>
          <w:b w:val="0"/>
          <w:i w:val="0"/>
          <w:color w:val="6B6862"/>
          <w:sz w:val="16"/>
          <w:spacing w:val="30"/>
        </w:rPr>
        <w:t>CHALLENGES COUNSEL'S LEGAL STANDARD FRAMING</w:t>
      </w:r>
    </w:p>
    <w:p>
      <w:pPr>
        <w:keepNext w:val="0"/>
        <w:spacing w:before="0" w:after="120"/>
      </w:pPr>
      <w:r>
        <w:rPr>
          <w:rFonts w:ascii="EB Garamond" w:hAnsi="EB Garamond"/>
          <w:b w:val="0"/>
          <w:i w:val="0"/>
          <w:color w:val="1A1814"/>
          <w:sz w:val="22"/>
        </w:rPr>
        <w:t>Engelhardt has shown a pattern of zeroing in on whether counsel’s appellate argument is actually responsive to the standard applied below, rather than substituting a more favorable one — the phrasing ‘do you think there’s a difference’ signals he is testing whether counsel will acknowledge the mismatch rather than argue past it.</w:t>
      </w:r>
    </w:p>
    <w:p>
      <w:pPr>
        <w:keepNext w:val="0"/>
        <w:spacing w:before="0" w:after="80"/>
        <w:ind w:left="259"/>
      </w:pPr>
      <w:r>
        <w:rPr>
          <w:rFonts w:ascii="Cormorant Garamond" w:hAnsi="Cormorant Garamond"/>
          <w:b w:val="0"/>
          <w:i w:val="0"/>
          <w:color w:val="8A6F33"/>
          <w:sz w:val="22"/>
        </w:rPr>
        <w:t>“</w:t>
      </w:r>
      <w:r>
        <w:rPr>
          <w:rFonts w:ascii="EB Garamond" w:hAnsi="EB Garamond"/>
          <w:b w:val="0"/>
          <w:i/>
          <w:color w:val="1A1814"/>
          <w:sz w:val="22"/>
        </w:rPr>
        <w:t>do you think there’s a difference between what the magistrate says you must establish for the breach of contract as opposed to what you’re arguing?</w:t>
      </w:r>
      <w:r>
        <w:rPr>
          <w:rFonts w:ascii="Cormorant Garamond" w:hAnsi="Cormorant Garamond"/>
          <w:b w:val="0"/>
          <w:i w:val="0"/>
          <w:color w:val="8A6F33"/>
          <w:sz w:val="22"/>
        </w:rPr>
        <w:t>”</w:t>
      </w:r>
      <w:r>
        <w:rPr>
          <w:rFonts w:ascii="JetBrains Mono" w:hAnsi="JetBrains Mono"/>
          <w:b w:val="0"/>
          <w:i w:val="0"/>
          <w:color w:val="9A9588"/>
          <w:sz w:val="18"/>
        </w:rPr>
        <w:t xml:space="preserve">  —  </w:t>
      </w:r>
      <w:r>
        <w:rPr>
          <w:rFonts w:ascii="EB Garamond" w:hAnsi="EB Garamond"/>
          <w:b w:val="0"/>
          <w:i/>
          <w:color w:val="6B6862"/>
          <w:sz w:val="18"/>
        </w:rPr>
        <w:t>Wilson V. Centene 24 50044_10 16 2024_Transcript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IN THIS CASE</w:t>
            </w:r>
          </w:p>
          <w:p>
            <w:pPr>
              <w:spacing w:after="40"/>
              <w:ind w:left="259"/>
            </w:pPr>
            <w:r>
              <w:rPr>
                <w:rFonts w:ascii="EB Garamond" w:hAnsi="EB Garamond"/>
                <w:b w:val="0"/>
                <w:i w:val="0"/>
                <w:color w:val="1A1814"/>
                <w:sz w:val="22"/>
              </w:rPr>
              <w:t>Alta Power argues that Bombardier’s holding on punitive-damages waivers was misapplied by the district court to consequential-damages waivers, but the district court expressly cited Bombardier for the proposition that the Texas Supreme Court has ‘never held that fraud vitiates a limitation-of-liability clause’ — Engelhardt is likely to ask whether Alta’s fraud-vitiates argument actually engages with that specific legal standard as the district court articulated it, or whether counsel is arguing a different standard entirely.</w:t>
            </w:r>
          </w:p>
        </w:tc>
      </w:tr>
    </w:tbl>
    <w:p>
      <w:pPr>
        <w:keepNext w:val="0"/>
        <w:spacing w:before="0" w:after="160"/>
      </w:pPr>
    </w:p>
    <w:p>
      <w:pPr>
        <w:keepNext w:val="0"/>
        <w:spacing w:before="160" w:after="80"/>
        <w:pBdr>
          <w:bottom w:val="single" w:sz="6" w:space="1" w:color="CFC8B8"/>
        </w:pBdr>
      </w:pPr>
    </w:p>
    <w:p>
      <w:pPr>
        <w:keepNext w:val="0"/>
        <w:spacing w:before="200" w:after="40"/>
      </w:pPr>
      <w:r>
        <w:rPr>
          <w:rFonts w:ascii="JetBrains Mono" w:hAnsi="JetBrains Mono"/>
          <w:b w:val="0"/>
          <w:i w:val="0"/>
          <w:color w:val="B8913D"/>
          <w:sz w:val="16"/>
        </w:rPr>
        <w:t xml:space="preserve">· </w:t>
      </w:r>
      <w:r>
        <w:rPr>
          <w:rFonts w:ascii="JetBrains Mono" w:hAnsi="JetBrains Mono"/>
          <w:b w:val="0"/>
          <w:i w:val="0"/>
          <w:color w:val="6B6862"/>
          <w:sz w:val="16"/>
          <w:spacing w:val="30"/>
        </w:rPr>
        <w:t>SKEPTICAL OF ARGUMENT MISMATCHING RECORD BELOW</w:t>
      </w:r>
    </w:p>
    <w:p>
      <w:pPr>
        <w:keepNext w:val="0"/>
        <w:spacing w:before="0" w:after="120"/>
      </w:pPr>
      <w:r>
        <w:rPr>
          <w:rFonts w:ascii="EB Garamond" w:hAnsi="EB Garamond"/>
          <w:b w:val="0"/>
          <w:i w:val="0"/>
          <w:color w:val="1A1814"/>
          <w:sz w:val="22"/>
        </w:rPr>
        <w:t>Engelhardt is likely to flag moments where counsel’s framing on appeal diverges from the posture counsel took below, using pointed questions to surface inconsistencies rather than letting the new framing go unchallenged.</w:t>
      </w:r>
    </w:p>
    <w:p>
      <w:pPr>
        <w:keepNext w:val="0"/>
        <w:spacing w:before="0" w:after="80"/>
        <w:ind w:left="259"/>
      </w:pPr>
      <w:r>
        <w:rPr>
          <w:rFonts w:ascii="Cormorant Garamond" w:hAnsi="Cormorant Garamond"/>
          <w:b w:val="0"/>
          <w:i w:val="0"/>
          <w:color w:val="8A6F33"/>
          <w:sz w:val="22"/>
        </w:rPr>
        <w:t>“</w:t>
      </w:r>
      <w:r>
        <w:rPr>
          <w:rFonts w:ascii="EB Garamond" w:hAnsi="EB Garamond"/>
          <w:b w:val="0"/>
          <w:i/>
          <w:color w:val="1A1814"/>
          <w:sz w:val="22"/>
        </w:rPr>
        <w:t>do you think there’s a difference between what the magistrate says you must establish for the breach of contract as opposed to what you’re arguing?</w:t>
      </w:r>
      <w:r>
        <w:rPr>
          <w:rFonts w:ascii="Cormorant Garamond" w:hAnsi="Cormorant Garamond"/>
          <w:b w:val="0"/>
          <w:i w:val="0"/>
          <w:color w:val="8A6F33"/>
          <w:sz w:val="22"/>
        </w:rPr>
        <w:t>”</w:t>
      </w:r>
      <w:r>
        <w:rPr>
          <w:rFonts w:ascii="JetBrains Mono" w:hAnsi="JetBrains Mono"/>
          <w:b w:val="0"/>
          <w:i w:val="0"/>
          <w:color w:val="9A9588"/>
          <w:sz w:val="18"/>
        </w:rPr>
        <w:t xml:space="preserve">  —  </w:t>
      </w:r>
      <w:r>
        <w:rPr>
          <w:rFonts w:ascii="EB Garamond" w:hAnsi="EB Garamond"/>
          <w:b w:val="0"/>
          <w:i/>
          <w:color w:val="6B6862"/>
          <w:sz w:val="18"/>
        </w:rPr>
        <w:t>Wilson V. Centene 24 50044_10 16 2024_Transcript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IN THIS CASE</w:t>
            </w:r>
          </w:p>
          <w:p>
            <w:pPr>
              <w:spacing w:after="40"/>
              <w:ind w:left="259"/>
            </w:pPr>
            <w:r>
              <w:rPr>
                <w:rFonts w:ascii="EB Garamond" w:hAnsi="EB Garamond"/>
                <w:b w:val="0"/>
                <w:i w:val="0"/>
                <w:color w:val="1A1814"/>
                <w:sz w:val="22"/>
              </w:rPr>
              <w:t>Alta Power now argues that GE cannot invoke the consequential-damages waiver for conduct predating its subcontractor status, but GE’s brief notes that Alta itself previously argued GE was a ‘party to the Master Agreement’ as an ‘affiliate or representative’ of WattStock — Engelhardt may press whether Alta’s current temporal and capacity limitations on the waiver are consistent with positions Alta took in earlier proceedings, or whether counsel is now arguing something different from what the record below reflects.</w:t>
            </w:r>
          </w:p>
        </w:tc>
      </w:tr>
    </w:tbl>
    <w:p>
      <w:pPr>
        <w:keepNext w:val="0"/>
        <w:spacing w:before="0" w:after="160"/>
      </w:pPr>
    </w:p>
    <w:p>
      <w:pPr>
        <w:keepNext w:val="0"/>
        <w:spacing w:before="160" w:after="80"/>
        <w:pBdr>
          <w:bottom w:val="single" w:sz="6" w:space="1" w:color="CFC8B8"/>
        </w:pBdr>
      </w:pPr>
    </w:p>
    <w:p>
      <w:r>
        <w:br w:type="page"/>
      </w:r>
    </w:p>
    <w:p>
      <w:bookmarkStart w:id="8" w:name="bm_profile_clement"/>
      <w:pPr>
        <w:keepNext w:val="0"/>
        <w:spacing w:before="0" w:after="40"/>
      </w:pPr>
      <w:r>
        <w:rPr>
          <w:rFonts w:ascii="JetBrains Mono" w:hAnsi="JetBrains Mono"/>
          <w:b w:val="0"/>
          <w:i w:val="0"/>
          <w:color w:val="B8913D"/>
          <w:sz w:val="16"/>
          <w:spacing w:val="30"/>
        </w:rPr>
        <w:t>§ 06  —  JUDGE PROFILE</w:t>
      </w:r>
      <w:bookmarkEnd w:id="8"/>
    </w:p>
    <w:p>
      <w:pPr>
        <w:keepNext/>
        <w:spacing w:before="240" w:after="200"/>
      </w:pPr>
      <w:r>
        <w:rPr>
          <w:rFonts w:ascii="Cormorant Garamond" w:hAnsi="Cormorant Garamond"/>
          <w:b w:val="0"/>
          <w:i w:val="0"/>
          <w:color w:val="1A1814"/>
          <w:sz w:val="44"/>
        </w:rPr>
        <w:t>Clement</w:t>
      </w:r>
    </w:p>
    <w:tbl>
      <w:tblPr>
        <w:tblStyle w:val="TableGrid"/>
        <w:tblW w:type="auto" w:w="0"/>
        <w:tblLook w:firstColumn="1" w:firstRow="1" w:lastColumn="0" w:lastRow="0" w:noHBand="0" w:noVBand="1" w:val="04A0"/>
        <w:tblBorders>
          <w:top w:val="nil"/>
          <w:left w:val="nil"/>
          <w:bottom w:val="nil"/>
          <w:right w:val="nil"/>
          <w:insideH w:val="nil"/>
          <w:insideV w:val="nil"/>
        </w:tblBorders>
      </w:tblPr>
      <w:tblGrid>
        <w:gridCol w:w="2340"/>
        <w:gridCol w:w="2340"/>
        <w:gridCol w:w="2340"/>
        <w:gridCol w:w="2340"/>
      </w:tblGrid>
      <w:tr>
        <w:tc>
          <w:tcPr>
            <w:tcW w:type="dxa" w:w="2340"/>
            <w:shd w:val="clear" w:color="auto" w:fill="F5F2EB"/>
          </w:tcPr>
          <w:p>
            <w:pPr>
              <w:spacing w:before="80" w:after="80"/>
            </w:pPr>
            <w:r>
              <w:rPr>
                <w:rFonts w:ascii="Cormorant Garamond" w:hAnsi="Cormorant Garamond"/>
                <w:b/>
                <w:color w:val="1A1814"/>
                <w:sz w:val="32"/>
              </w:rPr>
              <w:t>HIGH-VARIANCE</w:t>
            </w:r>
          </w:p>
        </w:tc>
        <w:tc>
          <w:tcPr>
            <w:tcW w:type="dxa" w:w="2340"/>
            <w:shd w:val="clear" w:color="auto" w:fill="FBF8F1"/>
          </w:tcPr>
          <w:p>
            <w:pPr>
              <w:spacing w:before="80" w:after="80"/>
            </w:pPr>
            <w:r>
              <w:rPr>
                <w:rFonts w:ascii="JetBrains Mono" w:hAnsi="JetBrains Mono"/>
                <w:b/>
                <w:color w:val="6B6862"/>
                <w:sz w:val="18"/>
              </w:rPr>
              <w:t>avg 2.7 Qs/arg</w:t>
            </w:r>
          </w:p>
        </w:tc>
        <w:tc>
          <w:tcPr>
            <w:tcW w:type="dxa" w:w="2340"/>
            <w:shd w:val="clear" w:color="auto" w:fill="F5F2EB"/>
          </w:tcPr>
          <w:p>
            <w:pPr>
              <w:spacing w:before="80" w:after="80"/>
            </w:pPr>
            <w:r>
              <w:rPr>
                <w:rFonts w:ascii="JetBrains Mono" w:hAnsi="JetBrains Mono"/>
                <w:b w:val="0"/>
                <w:color w:val="4A4843"/>
                <w:sz w:val="18"/>
              </w:rPr>
              <w:t>7 cases</w:t>
            </w:r>
          </w:p>
        </w:tc>
        <w:tc>
          <w:tcPr>
            <w:tcW w:type="dxa" w:w="2340"/>
            <w:shd w:val="clear" w:color="auto" w:fill="FBF8F1"/>
          </w:tcPr>
          <w:p>
            <w:pPr>
              <w:spacing w:before="80" w:after="80"/>
            </w:pPr>
            <w:r>
              <w:rPr>
                <w:rFonts w:ascii="JetBrains Mono" w:hAnsi="JetBrains Mono"/>
                <w:b w:val="0"/>
                <w:color w:val="4A4843"/>
                <w:sz w:val="18"/>
              </w:rPr>
              <w:t>Neutral 63%  ·  Challenging 26%</w:t>
            </w:r>
          </w:p>
        </w:tc>
      </w:tr>
    </w:tbl>
    <w:p>
      <w:pPr>
        <w:spacing w:after="80"/>
      </w:pPr>
    </w:p>
    <w:p>
      <w:pPr>
        <w:keepNext/>
        <w:spacing w:before="280" w:after="120"/>
      </w:pPr>
      <w:r>
        <w:rPr>
          <w:rFonts w:ascii="Cormorant Garamond" w:hAnsi="Cormorant Garamond"/>
          <w:b w:val="0"/>
          <w:i w:val="0"/>
          <w:color w:val="1A1814"/>
          <w:sz w:val="32"/>
        </w:rPr>
        <w:t>Distinctive Patterns</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PATTERN</w:t>
            </w:r>
          </w:p>
          <w:p>
            <w:pPr>
              <w:spacing w:after="40"/>
              <w:ind w:left="259"/>
            </w:pPr>
            <w:r>
              <w:rPr>
                <w:rFonts w:ascii="EB Garamond" w:hAnsi="EB Garamond"/>
                <w:b w:val="0"/>
                <w:i w:val="0"/>
                <w:color w:val="1A1814"/>
                <w:sz w:val="22"/>
              </w:rPr>
              <w:t>Tests whether counsel’s position is undermined by their own client’s contractual language or prior knowledge (e.g., ‘Doesn’t four point to sort of put you on notice that Buckley might not be able to pull this off’ and ‘Your client already had this report, right? It’s the same report’)</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PATTERN</w:t>
            </w:r>
          </w:p>
          <w:p>
            <w:pPr>
              <w:spacing w:after="40"/>
              <w:ind w:left="259"/>
            </w:pPr>
            <w:r>
              <w:rPr>
                <w:rFonts w:ascii="EB Garamond" w:hAnsi="EB Garamond"/>
                <w:b w:val="0"/>
                <w:i w:val="0"/>
                <w:color w:val="1A1814"/>
                <w:sz w:val="22"/>
              </w:rPr>
              <w:t>Probes whether contractual waivers and disclaimers defeat the claim being advanced (e.g., ‘You said now, heretofore or hereafter, they are not relying on the accuracy of the information provided by Tower’ regarding ‘very strong waiver reliance obligations’)</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PATTERN</w:t>
            </w:r>
          </w:p>
          <w:p>
            <w:pPr>
              <w:spacing w:after="40"/>
              <w:ind w:left="259"/>
            </w:pPr>
            <w:r>
              <w:rPr>
                <w:rFonts w:ascii="EB Garamond" w:hAnsi="EB Garamond"/>
                <w:b w:val="0"/>
                <w:i w:val="0"/>
                <w:color w:val="1A1814"/>
                <w:sz w:val="22"/>
              </w:rPr>
              <w:t>Challenges characterizations of business relationships by offering alternative interpretations of the same facts (e.g., ‘it wasn’t in the capacity of advising you whether or not to buy these properties’ and extensive hypothetical about lawyer meeting that ‘doesn’t mean he’s advised you’)</w:t>
            </w:r>
          </w:p>
        </w:tc>
      </w:tr>
    </w:tbl>
    <w:p>
      <w:pPr>
        <w:keepNext w:val="0"/>
        <w:spacing w:before="0" w:after="160"/>
      </w:pPr>
    </w:p>
    <w:p>
      <w:pPr>
        <w:keepNext/>
        <w:spacing w:before="280" w:after="120"/>
      </w:pPr>
      <w:r>
        <w:rPr>
          <w:rFonts w:ascii="Cormorant Garamond" w:hAnsi="Cormorant Garamond"/>
          <w:b w:val="0"/>
          <w:i w:val="0"/>
          <w:color w:val="1A1814"/>
          <w:sz w:val="32"/>
        </w:rPr>
        <w:t>Rejection Triggers</w:t>
      </w:r>
    </w:p>
    <w:p>
      <w:pPr>
        <w:keepNext w:val="0"/>
        <w:spacing w:before="0" w:after="200"/>
      </w:pPr>
      <w:r>
        <w:rPr>
          <w:rFonts w:ascii="EB Garamond" w:hAnsi="EB Garamond"/>
          <w:b w:val="0"/>
          <w:i/>
          <w:color w:val="4A4843"/>
          <w:sz w:val="22"/>
        </w:rPr>
        <w:t>What makes Clement shut down an argument.</w:t>
      </w:r>
    </w:p>
    <w:p>
      <w:pPr>
        <w:keepNext w:val="0"/>
        <w:spacing w:before="200" w:after="40"/>
      </w:pPr>
      <w:r>
        <w:rPr>
          <w:rFonts w:ascii="JetBrains Mono" w:hAnsi="JetBrains Mono"/>
          <w:b w:val="0"/>
          <w:i w:val="0"/>
          <w:color w:val="B8913D"/>
          <w:sz w:val="16"/>
        </w:rPr>
        <w:t xml:space="preserve">· </w:t>
      </w:r>
      <w:r>
        <w:rPr>
          <w:rFonts w:ascii="JetBrains Mono" w:hAnsi="JetBrains Mono"/>
          <w:b w:val="0"/>
          <w:i w:val="0"/>
          <w:color w:val="6B6862"/>
          <w:sz w:val="16"/>
          <w:spacing w:val="30"/>
        </w:rPr>
        <w:t>CORRECTS UNDERSELLING OF OPPOSING EVIDENCE</w:t>
      </w:r>
    </w:p>
    <w:p>
      <w:pPr>
        <w:keepNext w:val="0"/>
        <w:spacing w:before="0" w:after="120"/>
      </w:pPr>
      <w:r>
        <w:rPr>
          <w:rFonts w:ascii="EB Garamond" w:hAnsi="EB Garamond"/>
          <w:b w:val="0"/>
          <w:i w:val="0"/>
          <w:color w:val="1A1814"/>
          <w:sz w:val="22"/>
        </w:rPr>
        <w:t>Clement tends to push back when an attorney characterizes the evidence or logic supporting the opposing side in terms weaker than the record supports — escalating the framing from ‘inference’ to ‘more than an inference’ and signaling that the attorney is underselling what the court views as a stronger factual or logical signal working against them.</w:t>
      </w:r>
    </w:p>
    <w:p>
      <w:pPr>
        <w:keepNext w:val="0"/>
        <w:spacing w:before="0" w:after="80"/>
        <w:ind w:left="259"/>
      </w:pPr>
      <w:r>
        <w:rPr>
          <w:rFonts w:ascii="Cormorant Garamond" w:hAnsi="Cormorant Garamond"/>
          <w:b w:val="0"/>
          <w:i w:val="0"/>
          <w:color w:val="8A6F33"/>
          <w:sz w:val="22"/>
        </w:rPr>
        <w:t>“</w:t>
      </w:r>
      <w:r>
        <w:rPr>
          <w:rFonts w:ascii="EB Garamond" w:hAnsi="EB Garamond"/>
          <w:b w:val="0"/>
          <w:i/>
          <w:color w:val="1A1814"/>
          <w:sz w:val="22"/>
        </w:rPr>
        <w:t>right, but there’s this inference. Well, it’s more than an inference that says if I didn’t get the consent, then I’ll try to get the consent.</w:t>
      </w:r>
      <w:r>
        <w:rPr>
          <w:rFonts w:ascii="Cormorant Garamond" w:hAnsi="Cormorant Garamond"/>
          <w:b w:val="0"/>
          <w:i w:val="0"/>
          <w:color w:val="8A6F33"/>
          <w:sz w:val="22"/>
        </w:rPr>
        <w:t>”</w:t>
      </w:r>
      <w:r>
        <w:rPr>
          <w:rFonts w:ascii="JetBrains Mono" w:hAnsi="JetBrains Mono"/>
          <w:b w:val="0"/>
          <w:i w:val="0"/>
          <w:color w:val="9A9588"/>
          <w:sz w:val="18"/>
        </w:rPr>
        <w:t xml:space="preserve">  —  </w:t>
      </w:r>
      <w:r>
        <w:rPr>
          <w:rFonts w:ascii="EB Garamond" w:hAnsi="EB Garamond"/>
          <w:b w:val="0"/>
          <w:i/>
          <w:color w:val="6B6862"/>
          <w:sz w:val="18"/>
        </w:rPr>
        <w:t>Ias Services V. Buckley 17 50105_6 5 2018_Transcript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IN THIS CASE</w:t>
            </w:r>
          </w:p>
          <w:p>
            <w:pPr>
              <w:spacing w:after="40"/>
              <w:ind w:left="259"/>
            </w:pPr>
            <w:r>
              <w:rPr>
                <w:rFonts w:ascii="EB Garamond" w:hAnsi="EB Garamond"/>
                <w:b w:val="0"/>
                <w:i w:val="0"/>
                <w:color w:val="1A1814"/>
                <w:sz w:val="22"/>
              </w:rPr>
              <w:t>Alta’s central argument treats GE’s post-Agreement subcontractor status as insufficient to retroactively immunize pre-Agreement fraud. Clement may reframe GE’s counterpoint — that the MOU between GE and WattStock predated the Master Agreement by nearly two years — as more than a mere inference of pre-existing subcontractor-like status, pressing whether Alta’s ‘before GE became a subcontractor’ framing understates how early the GE-WattStock relationship was established.</w:t>
            </w:r>
          </w:p>
        </w:tc>
      </w:tr>
    </w:tbl>
    <w:p>
      <w:pPr>
        <w:keepNext w:val="0"/>
        <w:spacing w:before="0" w:after="160"/>
      </w:pPr>
    </w:p>
    <w:p>
      <w:pPr>
        <w:keepNext w:val="0"/>
        <w:spacing w:before="160" w:after="80"/>
        <w:pBdr>
          <w:bottom w:val="single" w:sz="6" w:space="1" w:color="CFC8B8"/>
        </w:pBdr>
      </w:pPr>
    </w:p>
    <w:p>
      <w:pPr>
        <w:keepNext w:val="0"/>
        <w:spacing w:before="200" w:after="40"/>
      </w:pPr>
      <w:r>
        <w:rPr>
          <w:rFonts w:ascii="JetBrains Mono" w:hAnsi="JetBrains Mono"/>
          <w:b w:val="0"/>
          <w:i w:val="0"/>
          <w:color w:val="B8913D"/>
          <w:sz w:val="16"/>
        </w:rPr>
        <w:t xml:space="preserve">· </w:t>
      </w:r>
      <w:r>
        <w:rPr>
          <w:rFonts w:ascii="JetBrains Mono" w:hAnsi="JetBrains Mono"/>
          <w:b w:val="0"/>
          <w:i w:val="0"/>
          <w:color w:val="6B6862"/>
          <w:sz w:val="16"/>
          <w:spacing w:val="30"/>
        </w:rPr>
        <w:t>REFRAMES ADVISORY ROLE TO NARROW CLAIM</w:t>
      </w:r>
    </w:p>
    <w:p>
      <w:pPr>
        <w:keepNext w:val="0"/>
        <w:spacing w:before="0" w:after="120"/>
      </w:pPr>
      <w:r>
        <w:rPr>
          <w:rFonts w:ascii="EB Garamond" w:hAnsi="EB Garamond"/>
          <w:b w:val="0"/>
          <w:i w:val="0"/>
          <w:color w:val="1A1814"/>
          <w:sz w:val="22"/>
        </w:rPr>
        <w:t>Clement has shown a pattern of drawing sharp distinctions between what a party actually did in a given capacity versus what the attorney characterizes it as having done — reframing the opposing party’s role in narrower, more functional terms that weaken the attorney’s characterization of the relationship or conduct at issue.</w:t>
      </w:r>
    </w:p>
    <w:p>
      <w:pPr>
        <w:keepNext w:val="0"/>
        <w:spacing w:before="0" w:after="80"/>
        <w:ind w:left="259"/>
      </w:pPr>
      <w:r>
        <w:rPr>
          <w:rFonts w:ascii="Cormorant Garamond" w:hAnsi="Cormorant Garamond"/>
          <w:b w:val="0"/>
          <w:i w:val="0"/>
          <w:color w:val="8A6F33"/>
          <w:sz w:val="22"/>
        </w:rPr>
        <w:t>“</w:t>
      </w:r>
      <w:r>
        <w:rPr>
          <w:rFonts w:ascii="EB Garamond" w:hAnsi="EB Garamond"/>
          <w:b w:val="0"/>
          <w:i/>
          <w:color w:val="1A1814"/>
          <w:sz w:val="22"/>
        </w:rPr>
        <w:t>more in the nature of presenting the facts that had been determined by the prior report, it wasn’t in the capacity of advising you whether or not to buy these properties,</w:t>
      </w:r>
      <w:r>
        <w:rPr>
          <w:rFonts w:ascii="Cormorant Garamond" w:hAnsi="Cormorant Garamond"/>
          <w:b w:val="0"/>
          <w:i w:val="0"/>
          <w:color w:val="8A6F33"/>
          <w:sz w:val="22"/>
        </w:rPr>
        <w:t>”</w:t>
      </w:r>
      <w:r>
        <w:rPr>
          <w:rFonts w:ascii="JetBrains Mono" w:hAnsi="JetBrains Mono"/>
          <w:b w:val="0"/>
          <w:i w:val="0"/>
          <w:color w:val="9A9588"/>
          <w:sz w:val="18"/>
        </w:rPr>
        <w:t xml:space="preserve">  —  </w:t>
      </w:r>
      <w:r>
        <w:rPr>
          <w:rFonts w:ascii="EB Garamond" w:hAnsi="EB Garamond"/>
          <w:b w:val="0"/>
          <w:i/>
          <w:color w:val="6B6862"/>
          <w:sz w:val="18"/>
        </w:rPr>
        <w:t>In Re Capco Energy 11 20264_12 6 2011_Transcript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IN THIS CASE</w:t>
            </w:r>
          </w:p>
          <w:p>
            <w:pPr>
              <w:spacing w:after="40"/>
              <w:ind w:left="259"/>
            </w:pPr>
            <w:r>
              <w:rPr>
                <w:rFonts w:ascii="EB Garamond" w:hAnsi="EB Garamond"/>
                <w:b w:val="0"/>
                <w:i w:val="0"/>
                <w:color w:val="1A1814"/>
                <w:sz w:val="22"/>
              </w:rPr>
              <w:t>Alta argues that GE’s pre-Agreement representations — assurances about its ‘partnership’ with WattStock, warranty coverage, and pricing — constituted fraudulent inducement operating entirely outside GE’s subcontractor capacity. Clement may reframe GE’s pre-Agreement conduct as more in the nature of general market promotion or collaboration with WattStock rather than actionable inducement directed at Alta, drawing a distinction between GE speaking as a manufacturer promoting its TRUEPackage program versus GE acting as an agent with specific obligations to Alta.</w:t>
            </w:r>
          </w:p>
        </w:tc>
      </w:tr>
    </w:tbl>
    <w:p>
      <w:pPr>
        <w:keepNext w:val="0"/>
        <w:spacing w:before="0" w:after="160"/>
      </w:pPr>
    </w:p>
    <w:p>
      <w:pPr>
        <w:keepNext w:val="0"/>
        <w:spacing w:before="160" w:after="80"/>
        <w:pBdr>
          <w:bottom w:val="single" w:sz="6" w:space="1" w:color="CFC8B8"/>
        </w:pBdr>
      </w:pPr>
    </w:p>
    <w:p>
      <w:pPr>
        <w:keepNext w:val="0"/>
        <w:spacing w:before="200" w:after="40"/>
      </w:pPr>
      <w:r>
        <w:rPr>
          <w:rFonts w:ascii="JetBrains Mono" w:hAnsi="JetBrains Mono"/>
          <w:b w:val="0"/>
          <w:i w:val="0"/>
          <w:color w:val="B8913D"/>
          <w:sz w:val="16"/>
        </w:rPr>
        <w:t xml:space="preserve">· </w:t>
      </w:r>
      <w:r>
        <w:rPr>
          <w:rFonts w:ascii="JetBrains Mono" w:hAnsi="JetBrains Mono"/>
          <w:b w:val="0"/>
          <w:i w:val="0"/>
          <w:color w:val="6B6862"/>
          <w:sz w:val="16"/>
          <w:spacing w:val="30"/>
        </w:rPr>
        <w:t>PRESSES ON THIN EVIDENTIARY FOUNDATION</w:t>
      </w:r>
    </w:p>
    <w:p>
      <w:pPr>
        <w:keepNext w:val="0"/>
        <w:spacing w:before="0" w:after="120"/>
      </w:pPr>
      <w:r>
        <w:rPr>
          <w:rFonts w:ascii="EB Garamond" w:hAnsi="EB Garamond"/>
          <w:b w:val="0"/>
          <w:i w:val="0"/>
          <w:color w:val="1A1814"/>
          <w:sz w:val="22"/>
        </w:rPr>
        <w:t>Clement is likely to signal skepticism when an attorney’s argument rests heavily on a single event or narrow factual anchor as the linchpin of a broader legal conclusion — pressing whether that isolated moment is sufficient to carry the weight the attorney places on it.</w:t>
      </w:r>
    </w:p>
    <w:p>
      <w:pPr>
        <w:keepNext w:val="0"/>
        <w:spacing w:before="0" w:after="80"/>
        <w:ind w:left="259"/>
      </w:pPr>
      <w:r>
        <w:rPr>
          <w:rFonts w:ascii="Cormorant Garamond" w:hAnsi="Cormorant Garamond"/>
          <w:b w:val="0"/>
          <w:i w:val="0"/>
          <w:color w:val="8A6F33"/>
          <w:sz w:val="22"/>
        </w:rPr>
        <w:t>“</w:t>
      </w:r>
      <w:r>
        <w:rPr>
          <w:rFonts w:ascii="EB Garamond" w:hAnsi="EB Garamond"/>
          <w:b w:val="0"/>
          <w:i/>
          <w:color w:val="1A1814"/>
          <w:sz w:val="22"/>
        </w:rPr>
        <w:t>you’re hanging your hat on the one meeting where they made the presentation to the loan.</w:t>
      </w:r>
      <w:r>
        <w:rPr>
          <w:rFonts w:ascii="Cormorant Garamond" w:hAnsi="Cormorant Garamond"/>
          <w:b w:val="0"/>
          <w:i w:val="0"/>
          <w:color w:val="8A6F33"/>
          <w:sz w:val="22"/>
        </w:rPr>
        <w:t>”</w:t>
      </w:r>
      <w:r>
        <w:rPr>
          <w:rFonts w:ascii="JetBrains Mono" w:hAnsi="JetBrains Mono"/>
          <w:b w:val="0"/>
          <w:i w:val="0"/>
          <w:color w:val="9A9588"/>
          <w:sz w:val="18"/>
        </w:rPr>
        <w:t xml:space="preserve">  —  </w:t>
      </w:r>
      <w:r>
        <w:rPr>
          <w:rFonts w:ascii="EB Garamond" w:hAnsi="EB Garamond"/>
          <w:b w:val="0"/>
          <w:i/>
          <w:color w:val="6B6862"/>
          <w:sz w:val="18"/>
        </w:rPr>
        <w:t>In Re Capco Energy 11 20264_12 6 2011_Transcript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B8913D"/>
              <w:bottom w:val="nil"/>
              <w:right w:val="nil"/>
            </w:tcBorders>
          </w:tcPr>
          <w:p>
            <w:pPr>
              <w:spacing w:after="40"/>
              <w:ind w:left="259"/>
            </w:pPr>
            <w:r>
              <w:rPr>
                <w:rFonts w:ascii="JetBrains Mono" w:hAnsi="JetBrains Mono"/>
                <w:b/>
                <w:color w:val="B8913D"/>
                <w:sz w:val="16"/>
              </w:rPr>
              <w:t xml:space="preserve">• </w:t>
            </w:r>
            <w:r>
              <w:rPr>
                <w:rFonts w:ascii="JetBrains Mono" w:hAnsi="JetBrains Mono"/>
                <w:b w:val="0"/>
                <w:i w:val="0"/>
                <w:color w:val="6B6862"/>
                <w:sz w:val="16"/>
                <w:spacing w:val="36"/>
              </w:rPr>
              <w:t>IN THIS CASE</w:t>
            </w:r>
          </w:p>
          <w:p>
            <w:pPr>
              <w:spacing w:after="40"/>
              <w:ind w:left="259"/>
            </w:pPr>
            <w:r>
              <w:rPr>
                <w:rFonts w:ascii="EB Garamond" w:hAnsi="EB Garamond"/>
                <w:b w:val="0"/>
                <w:i w:val="0"/>
                <w:color w:val="1A1814"/>
                <w:sz w:val="22"/>
              </w:rPr>
              <w:t>Alta’s temporal argument — that GE’s fraud occurred before it became WattStock’s subcontractor — depends significantly on pinpointing the July 2019 subcontractor agreement as the critical dividing line. Clement may press whether Alta is hanging its entire ‘outside subcontractor capacity’ theory on that single contract date, particularly given GE’s argument that the MOU from 2017 and Alta’s own repeated acknowledgments of GE as subcontractor undercut the precision of that temporal boundary.</w:t>
            </w:r>
          </w:p>
        </w:tc>
      </w:tr>
    </w:tbl>
    <w:p>
      <w:pPr>
        <w:keepNext w:val="0"/>
        <w:spacing w:before="0" w:after="160"/>
      </w:pPr>
    </w:p>
    <w:p>
      <w:pPr>
        <w:keepNext w:val="0"/>
        <w:spacing w:before="160" w:after="80"/>
        <w:pBdr>
          <w:bottom w:val="single" w:sz="6" w:space="1" w:color="CFC8B8"/>
        </w:pBdr>
      </w:pPr>
    </w:p>
    <w:p>
      <w:r>
        <w:br w:type="page"/>
      </w:r>
    </w:p>
    <w:p>
      <w:bookmarkStart w:id="9" w:name="bm_qa"/>
      <w:pPr>
        <w:keepNext w:val="0"/>
        <w:spacing w:before="0" w:after="40"/>
      </w:pPr>
      <w:r>
        <w:rPr>
          <w:rFonts w:ascii="JetBrains Mono" w:hAnsi="JetBrains Mono"/>
          <w:b w:val="0"/>
          <w:i w:val="0"/>
          <w:color w:val="B8913D"/>
          <w:sz w:val="16"/>
          <w:spacing w:val="30"/>
        </w:rPr>
        <w:t>§ 07  —  QUESTION BANK</w:t>
      </w:r>
      <w:bookmarkEnd w:id="9"/>
    </w:p>
    <w:p>
      <w:pPr>
        <w:keepNext/>
        <w:spacing w:before="240" w:after="200"/>
      </w:pPr>
      <w:r>
        <w:rPr>
          <w:rFonts w:ascii="Cormorant Garamond" w:hAnsi="Cormorant Garamond"/>
          <w:b w:val="0"/>
          <w:i w:val="0"/>
          <w:color w:val="1A1814"/>
          <w:sz w:val="44"/>
        </w:rPr>
        <w:t>Question Bank</w:t>
      </w:r>
    </w:p>
    <w:p>
      <w:pPr>
        <w:keepNext w:val="0"/>
        <w:spacing w:before="0" w:after="200"/>
      </w:pPr>
      <w:r>
        <w:rPr>
          <w:rFonts w:ascii="EB Garamond" w:hAnsi="EB Garamond"/>
          <w:b w:val="0"/>
          <w:i/>
          <w:color w:val="4A4843"/>
          <w:sz w:val="22"/>
        </w:rPr>
        <w:t>Questions predicted from judge history, applied to this case. Answers grounded in your brief with page citations.</w:t>
      </w:r>
    </w:p>
    <w:p>
      <w:r>
        <w:br w:type="page"/>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JUDGE  ·  SOUTHWICK</w:t>
      </w:r>
    </w:p>
    <w:p>
      <w:pPr>
        <w:keepNext/>
        <w:spacing w:before="280" w:after="120"/>
      </w:pPr>
      <w:r>
        <w:rPr>
          <w:rFonts w:ascii="Cormorant Garamond" w:hAnsi="Cormorant Garamond"/>
          <w:b w:val="0"/>
          <w:i w:val="0"/>
          <w:color w:val="1A1814"/>
          <w:sz w:val="32"/>
        </w:rPr>
        <w:t>Southwick</w:t>
      </w:r>
    </w:p>
    <w:p>
      <w:r>
        <w:br w:type="page"/>
      </w:r>
    </w:p>
    <w:p>
      <w:pPr>
        <w:keepNext w:val="0"/>
        <w:spacing w:before="0" w:after="40"/>
      </w:pPr>
      <w:r>
        <w:rPr>
          <w:rFonts w:ascii="JetBrains Mono" w:hAnsi="JetBrains Mono"/>
          <w:b w:val="0"/>
          <w:i w:val="0"/>
          <w:color w:val="B8913D"/>
          <w:sz w:val="16"/>
        </w:rPr>
        <w:t xml:space="preserve">Q 01  ·  </w:t>
      </w:r>
      <w:r>
        <w:rPr>
          <w:rFonts w:ascii="JetBrains Mono" w:hAnsi="JetBrains Mono"/>
          <w:b w:val="0"/>
          <w:i w:val="0"/>
          <w:color w:val="6B6862"/>
          <w:sz w:val="16"/>
          <w:spacing w:val="30"/>
        </w:rPr>
        <w:t>SOUTHWICK</w:t>
      </w:r>
      <w:r>
        <w:rPr>
          <w:rFonts w:ascii="JetBrains Mono" w:hAnsi="JetBrains Mono"/>
          <w:b w:val="0"/>
          <w:i w:val="0"/>
          <w:color w:val="C8392B"/>
          <w:sz w:val="16"/>
          <w:spacing w:val="30"/>
        </w:rPr>
        <w:t xml:space="preserve">   ARGUABLY DISPOSITIVE</w:t>
      </w:r>
    </w:p>
    <w:p>
      <w:pPr>
        <w:keepNext w:val="0"/>
        <w:spacing w:before="80" w:after="200"/>
      </w:pPr>
      <w:r>
        <w:rPr>
          <w:rFonts w:ascii="Cormorant Garamond" w:hAnsi="Cormorant Garamond"/>
          <w:b w:val="0"/>
          <w:i w:val="0"/>
          <w:color w:val="1A1814"/>
          <w:sz w:val="32"/>
        </w:rPr>
        <w:t>Counsel, Section 9.1(B) says ‘neither Party, their respective officers, directors, partners, employees, representatives, contractors or subcontractors shall be liable.’ Point me to the specific words in that sentence that impose a capacity limitation — meaning the words that say the waiver only applies when GE was acting in its subcontractor role.</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Southwick has a documented pattern of zeroing in on specific contractual language by section number and demanding that counsel identify the precise text that supports their interpretation rather than restating broader principles. Here, Alta’s entire first argument depends on reading a capacity limitation into Section 9.1(B) that does not appear on the face of the provision, making this the single most likely entry point for Southwick to press counsel to point to actual words.</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“GE was not acting as WattStock’s subcontractor when it defrauded Alta through its pre-Agreement actions to induce Alta to sign the Agreement.” (App. Br. p. 27)</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“For one thing, Alta’s capacity limitation appears nowhere in Section 9.1(B), and there’s no basis for grafting it onto the text.” (Br. p. 34)</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“Does it include all conduct by anyone who has ever been a subcontractor, or does it cover only conduct taken by subcontractors as subcontractors? Since the Agreement extends the consequential-damages waiver to classes of third parties because of their relationship to the contracting parties, it follows that the waiver extends only insofar as those third parties are acting in their identified capacity.” (App. Br. p. 28)</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there is no textual capacity limitation in Section 9.1(B) - the words aren’t there. What the provision does say is that third parties who are ‘subcontractors’ can’t be liable for consequential damages connected to the Agreement. We’re arguing that this structural context - extending the waiver to classes of third parties because of their relationship to the parties - necessarily implies the waiver covers only conduct taken in that identified capacity.</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Finley Resources, Inc. v. Headington Royalty, Inc., 672 S.W.3d 332 (Tex. 2023)</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capacity limitation</w:t>
      </w:r>
      <w:r>
        <w:rPr>
          <w:rFonts w:ascii="JetBrains Mono" w:hAnsi="JetBrains Mono"/>
          <w:b w:val="0"/>
          <w:i w:val="0"/>
          <w:color w:val="9A9588"/>
          <w:sz w:val="18"/>
        </w:rPr>
        <w:t xml:space="preserve">  ·  </w:t>
      </w:r>
      <w:r>
        <w:rPr>
          <w:rFonts w:ascii="JetBrains Mono" w:hAnsi="JetBrains Mono"/>
          <w:b w:val="0"/>
          <w:i w:val="0"/>
          <w:color w:val="1A1814"/>
          <w:sz w:val="18"/>
        </w:rPr>
        <w:t>acting in their identified capacity</w:t>
      </w:r>
      <w:r>
        <w:rPr>
          <w:rFonts w:ascii="JetBrains Mono" w:hAnsi="JetBrains Mono"/>
          <w:b w:val="0"/>
          <w:i w:val="0"/>
          <w:color w:val="9A9588"/>
          <w:sz w:val="18"/>
        </w:rPr>
        <w:t xml:space="preserve">  ·  </w:t>
      </w:r>
      <w:r>
        <w:rPr>
          <w:rFonts w:ascii="JetBrains Mono" w:hAnsi="JetBrains Mono"/>
          <w:b w:val="0"/>
          <w:i w:val="0"/>
          <w:color w:val="1A1814"/>
          <w:sz w:val="18"/>
        </w:rPr>
        <w:t>qua subcontractor</w:t>
      </w:r>
      <w:r>
        <w:rPr>
          <w:rFonts w:ascii="JetBrains Mono" w:hAnsi="JetBrains Mono"/>
          <w:b w:val="0"/>
          <w:i w:val="0"/>
          <w:color w:val="9A9588"/>
          <w:sz w:val="18"/>
        </w:rPr>
        <w:t xml:space="preserve">  ·  </w:t>
      </w:r>
      <w:r>
        <w:rPr>
          <w:rFonts w:ascii="JetBrains Mono" w:hAnsi="JetBrains Mono"/>
          <w:b w:val="0"/>
          <w:i w:val="0"/>
          <w:color w:val="1A1814"/>
          <w:sz w:val="18"/>
        </w:rPr>
        <w:t>appears nowhere in Section 9.1(B)</w:t>
      </w:r>
      <w:r>
        <w:rPr>
          <w:rFonts w:ascii="JetBrains Mono" w:hAnsi="JetBrains Mono"/>
          <w:b w:val="0"/>
          <w:i w:val="0"/>
          <w:color w:val="9A9588"/>
          <w:sz w:val="18"/>
        </w:rPr>
        <w:t xml:space="preserve">  ·  </w:t>
      </w:r>
      <w:r>
        <w:rPr>
          <w:rFonts w:ascii="JetBrains Mono" w:hAnsi="JetBrains Mono"/>
          <w:b w:val="0"/>
          <w:i w:val="0"/>
          <w:color w:val="1A1814"/>
          <w:sz w:val="18"/>
        </w:rPr>
        <w:t>no basis for grafting it onto the text</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the capacity limitation appears nowhere in Section 9.1(B) and there’s no basis for grafting it onto the text, and that Section 9.1(B) ties the scope of the waiver by subject matter to the Master Agreement, not by capacity.</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the Court finds the text alone doesn’t support our reading, our temporal argument provides an alternative path - GE hadn’t even become a subcontractor when it committed the fraud.</w:t>
      </w:r>
    </w:p>
    <w:p>
      <w:r>
        <w:br w:type="page"/>
      </w:r>
    </w:p>
    <w:p>
      <w:pPr>
        <w:keepNext w:val="0"/>
        <w:spacing w:before="0" w:after="40"/>
      </w:pPr>
      <w:r>
        <w:rPr>
          <w:rFonts w:ascii="JetBrains Mono" w:hAnsi="JetBrains Mono"/>
          <w:b w:val="0"/>
          <w:i w:val="0"/>
          <w:color w:val="B8913D"/>
          <w:sz w:val="16"/>
        </w:rPr>
        <w:t xml:space="preserve">Q 02  ·  </w:t>
      </w:r>
      <w:r>
        <w:rPr>
          <w:rFonts w:ascii="JetBrains Mono" w:hAnsi="JetBrains Mono"/>
          <w:b w:val="0"/>
          <w:i w:val="0"/>
          <w:color w:val="6B6862"/>
          <w:sz w:val="16"/>
          <w:spacing w:val="30"/>
        </w:rPr>
        <w:t>SOUTHWICK</w:t>
      </w:r>
    </w:p>
    <w:p>
      <w:pPr>
        <w:keepNext w:val="0"/>
        <w:spacing w:before="80" w:after="200"/>
      </w:pPr>
      <w:r>
        <w:rPr>
          <w:rFonts w:ascii="Cormorant Garamond" w:hAnsi="Cormorant Garamond"/>
          <w:b w:val="0"/>
          <w:i w:val="0"/>
          <w:color w:val="1A1814"/>
          <w:sz w:val="32"/>
        </w:rPr>
        <w:t>The Cancellation Fee Agreement — drafted by Alta — states that ‘important components of WattStock’s work will be subcontracted to GE.’ Alta’s own CFO sent Deutsche Bank a letter identifying GE as ‘a subcontractor to WattStock.’ Given that Alta itself labeled GE a subcontractor in documents it authored, how does Alta now argue there is any genuine dispute that GE falls within the ‘subcontractors’ category in Section 9.1(B)?</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Southwick has shown a pattern of pushing back sharply when a party’s argument rests on a position that has not been affirmatively established — or, conversely, where the record affirmatively undercuts — the party’s claim. The specific documentary evidence here — Alta’s own written characterizations of GE as subcontractor — may draw Southwick to probe whether Alta’s capacity and temporal arguments are inconsistent with its own prior record admissions.</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“Alta chose GE and WattStock over ProEnergy. That was a costly mistake. As it turned out, GE did not really want to break into the refurbished-turbine market. It wanted to destroy it and re-establish its monopoly on turbines.” (App. Br. p. 2)</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fraud occurred long before GE became a subcontractor in July 2019, see ROA.20526, when GE lied to Alta throughout 2018 and early 2019 about GE’s relationship with WattStock preceding the February 2019 Master Agreement.” (App. Br. p. 29)</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“As Alta itself has repeatedly recognized, GE was WattStock’s subcontractor. See, e.g., ROA.21087 (Alta designating GE as a ‘Major Subcontractor’ while negotiating with WattStock); ROA.8963-65 (letter emailed by Alta CFO Matthew Laterza to Deutsche Bank identifying GE as ‘a subcontractor to WattStock’); ROA.8080-81 (Cancellation Fee Agreement, drafted and signed by Alta, acknowledging that ‘[i]mportant components of WattStock’s work . . . will be subcontracted to GE’).” (Br. p. 28)</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those documents came after Alta had already been fraudulently induced to enter the Master Agreement. The fraud that induced Alta to sign the Agreement occurred throughout 2018 and early 2019, but GE didn’t become WattStock’s subcontractor until July 2019 at the earliest - months after the February 2019 Master Agreement.</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Dall. Farm Mach. Co. v. Reaves, 307 S.W.2d 233 (Tex. 1957)</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fraudulent inducement</w:t>
      </w:r>
      <w:r>
        <w:rPr>
          <w:rFonts w:ascii="JetBrains Mono" w:hAnsi="JetBrains Mono"/>
          <w:b w:val="0"/>
          <w:i w:val="0"/>
          <w:color w:val="9A9588"/>
          <w:sz w:val="18"/>
        </w:rPr>
        <w:t xml:space="preserve">  ·  </w:t>
      </w:r>
      <w:r>
        <w:rPr>
          <w:rFonts w:ascii="JetBrains Mono" w:hAnsi="JetBrains Mono"/>
          <w:b w:val="0"/>
          <w:i w:val="0"/>
          <w:color w:val="1A1814"/>
          <w:sz w:val="18"/>
        </w:rPr>
        <w:t>pre-Agreement conduct</w:t>
      </w:r>
      <w:r>
        <w:rPr>
          <w:rFonts w:ascii="JetBrains Mono" w:hAnsi="JetBrains Mono"/>
          <w:b w:val="0"/>
          <w:i w:val="0"/>
          <w:color w:val="9A9588"/>
          <w:sz w:val="18"/>
        </w:rPr>
        <w:t xml:space="preserve">  ·  </w:t>
      </w:r>
      <w:r>
        <w:rPr>
          <w:rFonts w:ascii="JetBrains Mono" w:hAnsi="JetBrains Mono"/>
          <w:b w:val="0"/>
          <w:i w:val="0"/>
          <w:color w:val="1A1814"/>
          <w:sz w:val="18"/>
        </w:rPr>
        <w:t>July 2019</w:t>
      </w:r>
      <w:r>
        <w:rPr>
          <w:rFonts w:ascii="JetBrains Mono" w:hAnsi="JetBrains Mono"/>
          <w:b w:val="0"/>
          <w:i w:val="0"/>
          <w:color w:val="9A9588"/>
          <w:sz w:val="18"/>
        </w:rPr>
        <w:t xml:space="preserve">  ·  </w:t>
      </w:r>
      <w:r>
        <w:rPr>
          <w:rFonts w:ascii="JetBrains Mono" w:hAnsi="JetBrains Mono"/>
          <w:b w:val="0"/>
          <w:i w:val="0"/>
          <w:color w:val="1A1814"/>
          <w:sz w:val="18"/>
        </w:rPr>
        <w:t>throughout 2018 and early 2019</w:t>
      </w:r>
      <w:r>
        <w:rPr>
          <w:rFonts w:ascii="JetBrains Mono" w:hAnsi="JetBrains Mono"/>
          <w:b w:val="0"/>
          <w:i w:val="0"/>
          <w:color w:val="9A9588"/>
          <w:sz w:val="18"/>
        </w:rPr>
        <w:t xml:space="preserve">  ·  </w:t>
      </w:r>
      <w:r>
        <w:rPr>
          <w:rFonts w:ascii="JetBrains Mono" w:hAnsi="JetBrains Mono"/>
          <w:b w:val="0"/>
          <w:i w:val="0"/>
          <w:color w:val="1A1814"/>
          <w:sz w:val="18"/>
        </w:rPr>
        <w:t>before GE became a subcontractor</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Alta repeatedly recognized GE was WattStock’s subcontractor in multiple documents, including the Cancellation Fee Agreement and CFO letter to Deutsche Bank, and that Alta ‘agree[s]’ that ‘GE became WattStock’s subcontractor.’</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the Court views these post-Agreement acknowledgments as controlling, we’d emphasize that the waiver still can’t retroactively immunize pre-Agreement fraud that induced the contract itself.</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these documents are dispositive, because Alta’s brief argues the Cancellation Fee Agreement and the CFO letter postdate the fraudulent inducement and reflect GE’s status only after the Master Agreement was signed, not during the pre-Agreement conduct at issue.</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03  ·  </w:t>
      </w:r>
      <w:r>
        <w:rPr>
          <w:rFonts w:ascii="JetBrains Mono" w:hAnsi="JetBrains Mono"/>
          <w:b w:val="0"/>
          <w:i w:val="0"/>
          <w:color w:val="6B6862"/>
          <w:sz w:val="16"/>
          <w:spacing w:val="30"/>
        </w:rPr>
        <w:t>SOUTHWICK</w:t>
      </w:r>
    </w:p>
    <w:p>
      <w:pPr>
        <w:keepNext w:val="0"/>
        <w:spacing w:before="80" w:after="200"/>
      </w:pPr>
      <w:r>
        <w:rPr>
          <w:rFonts w:ascii="Cormorant Garamond" w:hAnsi="Cormorant Garamond"/>
          <w:b w:val="0"/>
          <w:i w:val="0"/>
          <w:color w:val="1A1814"/>
          <w:sz w:val="32"/>
        </w:rPr>
        <w:t>If I accept your argument that the word ‘subcontractors’ implicitly limits the waiver to conduct performed in a subcontractor capacity, what happens to the other listed categories — ‘employees,’ ‘officers,’ ‘directors’? Under your reading, would the waiver also not protect a WattStock employee who caused damage to Alta before becoming an employee?</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Southwick has a documented pattern of testing whether a proposed interpretation leads to broader implications counsel has not accounted for, pushing hypotheticals that extend the reasoning to its logical ends. Alta’s capacity-limitation argument applies equally to every category listed in Section 9.1(B), and extending it to employees or officers may reveal consequences that undermine the interpretation.</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“Since the Agreement extends the consequential-damages waiver to classes of third parties because of their relationship to the contracting parties, it follows that the waiver extends only insofar as those third parties are acting in their identified capacity.” (App. Br. p. 28)</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district court reasoned that waivers for classes such as employees, contractors, and subcontractors are not limited to those who had that status at the time the Agreement is signed. ROA.23862-63. That is true in one sense: If John Doe was not an employee of Alta when the Agreement was signed, but later became an employee and caused damage to WattStock in that capacity, he would be protected by the consequential-damages waiver for acts of employees. But it does not follow that John Doe would be immunized for tortious acts he committed before he became an Alta employee.” (App. Br. p. 32)</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That’s correct, Your Honor - the waiver protects these third parties only when acting in their identified capacities. If John Doe wasn’t yet a WattStock employee when he committed a tort, the waiver wouldn’t protect him for that pre-employment conduct, even if he later became an employee. The waiver extends protection based on the third party’s relationship to the contracting parties, so it covers only conduct undertaken in that relationship.</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Finley Resources, Inc. v. Headington Royalty, Inc., 672 S.W.3d 332 (Tex. 2023)</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acting in their identified capacity</w:t>
      </w:r>
      <w:r>
        <w:rPr>
          <w:rFonts w:ascii="JetBrains Mono" w:hAnsi="JetBrains Mono"/>
          <w:b w:val="0"/>
          <w:i w:val="0"/>
          <w:color w:val="9A9588"/>
          <w:sz w:val="18"/>
        </w:rPr>
        <w:t xml:space="preserve">  ·  </w:t>
      </w:r>
      <w:r>
        <w:rPr>
          <w:rFonts w:ascii="JetBrains Mono" w:hAnsi="JetBrains Mono"/>
          <w:b w:val="0"/>
          <w:i w:val="0"/>
          <w:color w:val="1A1814"/>
          <w:sz w:val="18"/>
        </w:rPr>
        <w:t>John Doe</w:t>
      </w:r>
      <w:r>
        <w:rPr>
          <w:rFonts w:ascii="JetBrains Mono" w:hAnsi="JetBrains Mono"/>
          <w:b w:val="0"/>
          <w:i w:val="0"/>
          <w:color w:val="9A9588"/>
          <w:sz w:val="18"/>
        </w:rPr>
        <w:t xml:space="preserve">  ·  </w:t>
      </w:r>
      <w:r>
        <w:rPr>
          <w:rFonts w:ascii="JetBrains Mono" w:hAnsi="JetBrains Mono"/>
          <w:b w:val="0"/>
          <w:i w:val="0"/>
          <w:color w:val="1A1814"/>
          <w:sz w:val="18"/>
        </w:rPr>
        <w:t>before becoming an employee</w:t>
      </w:r>
      <w:r>
        <w:rPr>
          <w:rFonts w:ascii="JetBrains Mono" w:hAnsi="JetBrains Mono"/>
          <w:b w:val="0"/>
          <w:i w:val="0"/>
          <w:color w:val="9A9588"/>
          <w:sz w:val="18"/>
        </w:rPr>
        <w:t xml:space="preserve">  ·  </w:t>
      </w:r>
      <w:r>
        <w:rPr>
          <w:rFonts w:ascii="JetBrains Mono" w:hAnsi="JetBrains Mono"/>
          <w:b w:val="0"/>
          <w:i w:val="0"/>
          <w:color w:val="1A1814"/>
          <w:sz w:val="18"/>
        </w:rPr>
        <w:t>in that capacity</w:t>
      </w:r>
      <w:r>
        <w:rPr>
          <w:rFonts w:ascii="JetBrains Mono" w:hAnsi="JetBrains Mono"/>
          <w:b w:val="0"/>
          <w:i w:val="0"/>
          <w:color w:val="9A9588"/>
          <w:sz w:val="18"/>
        </w:rPr>
        <w:t xml:space="preserve">  ·  </w:t>
      </w:r>
      <w:r>
        <w:rPr>
          <w:rFonts w:ascii="JetBrains Mono" w:hAnsi="JetBrains Mono"/>
          <w:b w:val="0"/>
          <w:i w:val="0"/>
          <w:color w:val="1A1814"/>
          <w:sz w:val="18"/>
        </w:rPr>
        <w:t>relationship to the contracting parties</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Section 9.1(B) imposes only one limitation - that the claim must be ‘connected’ to the Master Agreement - and that Alta’s capacity limitation appears nowhere in the text and would essentially render the waiver a dead letter.</w:t>
      </w:r>
    </w:p>
    <w:p>
      <w:r>
        <w:br w:type="page"/>
      </w:r>
    </w:p>
    <w:p>
      <w:pPr>
        <w:keepNext w:val="0"/>
        <w:spacing w:before="0" w:after="40"/>
      </w:pPr>
      <w:r>
        <w:rPr>
          <w:rFonts w:ascii="JetBrains Mono" w:hAnsi="JetBrains Mono"/>
          <w:b w:val="0"/>
          <w:i w:val="0"/>
          <w:color w:val="B8913D"/>
          <w:sz w:val="16"/>
        </w:rPr>
        <w:t xml:space="preserve">Q 04  ·  </w:t>
      </w:r>
      <w:r>
        <w:rPr>
          <w:rFonts w:ascii="JetBrains Mono" w:hAnsi="JetBrains Mono"/>
          <w:b w:val="0"/>
          <w:i w:val="0"/>
          <w:color w:val="6B6862"/>
          <w:sz w:val="16"/>
          <w:spacing w:val="30"/>
        </w:rPr>
        <w:t>SOUTHWICK</w:t>
      </w:r>
      <w:r>
        <w:rPr>
          <w:rFonts w:ascii="JetBrains Mono" w:hAnsi="JetBrains Mono"/>
          <w:b w:val="0"/>
          <w:i w:val="0"/>
          <w:color w:val="C8392B"/>
          <w:sz w:val="16"/>
          <w:spacing w:val="30"/>
        </w:rPr>
        <w:t xml:space="preserve">   ARGUABLY DISPOSITIVE</w:t>
      </w:r>
    </w:p>
    <w:p>
      <w:pPr>
        <w:keepNext w:val="0"/>
        <w:spacing w:before="80" w:after="200"/>
      </w:pPr>
      <w:r>
        <w:rPr>
          <w:rFonts w:ascii="Cormorant Garamond" w:hAnsi="Cormorant Garamond"/>
          <w:b w:val="0"/>
          <w:i w:val="0"/>
          <w:color w:val="1A1814"/>
          <w:sz w:val="32"/>
        </w:rPr>
        <w:t>Your brief relies heavily on Bombardier being limited to punitive damages, but the contracts in Bombardier also contained a consequential-damages waiver — the Texas Supreme Court quoted that language in its opinion. Why shouldn’t the court read Bombardier’s ‘we have never held that fraud vitiates a limitation-of-liability clause’ as applying equally to consequential damages?</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Southwick has shown a pattern of pressing counsel on whether prior holdings actually support the specific proposition being argued, particularly when the district court read the precedent more broadly. Alta’s brief distinguishes Bombardier by confining it to punitive damages, but the Bombardier agreements contained consequential-damages waivers as well, creating a direct line of questioning about whether the distinction holds.</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court reiterated that ‘the purchasing parties did not waive a claim for fraud; they only waived the ability to recover punitive damages for any fraud.’ Id. at 232. And the court ensured that the plaintiffs could still recover actual damages. Id. at 233. On this ground, the court distinguished other cases invalidating fraudulently induced ‘as is’ clauses because those cases were about recovering actual damages, and ‘nowhere do the provisions at issue [in Bombardier], read as a whole, limit actual damages.’ Id.”</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agreements in Bombardier expressly waived ‘consequential damages’ just like the agreements here. See 572 S.W.3d at 217-18.”</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Bombardier itself distinguished between punitive and actual damages. The Court emphasized that ‘nowhere do the provisions at issue, read as a whole, limit actual damages’ and that plaintiffs could still recover actual damages. The Court’s analysis focused on the exemplary nature of punitive damages - here, enforcing the waiver would bar Alta from recovering any actual damages for GE’s fraud.</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Bombardier Aerospace Corp. v. SPEP Aircraft Holdings, LLC, 572 S.W.3d 213 (Tex. 2019)</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exemplary nature of punitive damages</w:t>
      </w:r>
      <w:r>
        <w:rPr>
          <w:rFonts w:ascii="JetBrains Mono" w:hAnsi="JetBrains Mono"/>
          <w:b w:val="0"/>
          <w:i w:val="0"/>
          <w:color w:val="9A9588"/>
          <w:sz w:val="18"/>
        </w:rPr>
        <w:t xml:space="preserve">  ·  </w:t>
      </w:r>
      <w:r>
        <w:rPr>
          <w:rFonts w:ascii="JetBrains Mono" w:hAnsi="JetBrains Mono"/>
          <w:b w:val="0"/>
          <w:i w:val="0"/>
          <w:color w:val="1A1814"/>
          <w:sz w:val="18"/>
        </w:rPr>
        <w:t>actual damages</w:t>
      </w:r>
      <w:r>
        <w:rPr>
          <w:rFonts w:ascii="JetBrains Mono" w:hAnsi="JetBrains Mono"/>
          <w:b w:val="0"/>
          <w:i w:val="0"/>
          <w:color w:val="9A9588"/>
          <w:sz w:val="18"/>
        </w:rPr>
        <w:t xml:space="preserve">  ·  </w:t>
      </w:r>
      <w:r>
        <w:rPr>
          <w:rFonts w:ascii="JetBrains Mono" w:hAnsi="JetBrains Mono"/>
          <w:b w:val="0"/>
          <w:i w:val="0"/>
          <w:color w:val="1A1814"/>
          <w:sz w:val="18"/>
        </w:rPr>
        <w:t>nowhere do the provisions at issue</w:t>
      </w:r>
      <w:r>
        <w:rPr>
          <w:rFonts w:ascii="JetBrains Mono" w:hAnsi="JetBrains Mono"/>
          <w:b w:val="0"/>
          <w:i w:val="0"/>
          <w:color w:val="9A9588"/>
          <w:sz w:val="18"/>
        </w:rPr>
        <w:t xml:space="preserve">  ·  </w:t>
      </w:r>
      <w:r>
        <w:rPr>
          <w:rFonts w:ascii="JetBrains Mono" w:hAnsi="JetBrains Mono"/>
          <w:b w:val="0"/>
          <w:i w:val="0"/>
          <w:color w:val="1A1814"/>
          <w:sz w:val="18"/>
        </w:rPr>
        <w:t>still recover actual damages</w:t>
      </w:r>
      <w:r>
        <w:rPr>
          <w:rFonts w:ascii="JetBrains Mono" w:hAnsi="JetBrains Mono"/>
          <w:b w:val="0"/>
          <w:i w:val="0"/>
          <w:color w:val="9A9588"/>
          <w:sz w:val="18"/>
        </w:rPr>
        <w:t xml:space="preserve">  ·  </w:t>
      </w:r>
      <w:r>
        <w:rPr>
          <w:rFonts w:ascii="JetBrains Mono" w:hAnsi="JetBrains Mono"/>
          <w:b w:val="0"/>
          <w:i w:val="0"/>
          <w:color w:val="1A1814"/>
          <w:sz w:val="18"/>
        </w:rPr>
        <w:t>fraudulent inducement</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Bombardier’s holding isn’t limited to punitive damages because the agreements there ‘expressly waived consequential damages just like the agreements here.’</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the Court finds Bombardier controls, we’d emphasize the critical distinction that GE is a non-party seeking to use fraud to enforce a waiver against the very party it defrauded.</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Bombardier’s holding extends to consequential damages, because Alta’s brief argues the Texas Supreme Court’s analysis was specifically tied to the exemplary nature of punitive damages and expressly distinguished cases involving actual damages recovery, noting ‘nowhere do the provisions at issue, read as a whole, limit actual damages.’</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8A6F33"/>
              <w:bottom w:val="nil"/>
              <w:right w:val="nil"/>
            </w:tcBorders>
          </w:tcPr>
          <w:p>
            <w:pPr>
              <w:spacing w:after="40"/>
              <w:ind w:left="259"/>
            </w:pPr>
            <w:r>
              <w:rPr>
                <w:rFonts w:ascii="JetBrains Mono" w:hAnsi="JetBrains Mono"/>
                <w:b/>
                <w:color w:val="8A6F33"/>
                <w:sz w:val="16"/>
              </w:rPr>
              <w:t xml:space="preserve">• </w:t>
            </w:r>
            <w:r>
              <w:rPr>
                <w:rFonts w:ascii="JetBrains Mono" w:hAnsi="JetBrains Mono"/>
                <w:b w:val="0"/>
                <w:i w:val="0"/>
                <w:color w:val="6B6862"/>
                <w:sz w:val="16"/>
                <w:spacing w:val="36"/>
              </w:rPr>
              <w:t>CONSIDER</w:t>
            </w:r>
          </w:p>
          <w:p>
            <w:pPr>
              <w:spacing w:after="40"/>
              <w:ind w:left="259"/>
            </w:pPr>
            <w:r>
              <w:rPr>
                <w:rFonts w:ascii="EB Garamond" w:hAnsi="EB Garamond"/>
                <w:b w:val="0"/>
                <w:i w:val="0"/>
                <w:color w:val="1A1814"/>
                <w:sz w:val="22"/>
              </w:rPr>
              <w:t>Alta could strengthen this response by citing post-Bombardier cases that have limited its reach or distinguished it in the consequential damages context.</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05  ·  </w:t>
      </w:r>
      <w:r>
        <w:rPr>
          <w:rFonts w:ascii="JetBrains Mono" w:hAnsi="JetBrains Mono"/>
          <w:b w:val="0"/>
          <w:i w:val="0"/>
          <w:color w:val="6B6862"/>
          <w:sz w:val="16"/>
          <w:spacing w:val="30"/>
        </w:rPr>
        <w:t>SOUTHWICK</w:t>
      </w:r>
    </w:p>
    <w:p>
      <w:pPr>
        <w:keepNext w:val="0"/>
        <w:spacing w:before="80" w:after="200"/>
      </w:pPr>
      <w:r>
        <w:rPr>
          <w:rFonts w:ascii="Cormorant Garamond" w:hAnsi="Cormorant Garamond"/>
          <w:b w:val="0"/>
          <w:i w:val="0"/>
          <w:color w:val="1A1814"/>
          <w:sz w:val="32"/>
        </w:rPr>
        <w:t>If this Court reverses and remands, exactly what should the final paragraph of the Court’s order say? Can Alta recover all consequential damages, or only those arising from GE’s pre-Agreement conduct — and how would a district court on remand actually draw that line?</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Southwick has a documented pattern of forcing counsel to articulate exactly what relief they want in concrete remedial terms, asking what the final paragraph of the order should say. Alta’s three-argument structure creates genuine ambiguity about the scope of reversal, and Southwick may press counsel to specify whether reversal is complete or partial and how the damages inquiry would be cabined on remand.</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Court should reverse the district court’s judgment in full, hold that the consequential-damages waiver does not cover Alta’s claims against GE, and remand for further proceedings.” (App. Br. p. 33)</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Because the district court’s rejection of Alta’s claim for punitive damages hinged on Alta’s inability to recover actual damages, the Court should reverse the district court’s judgment in full, allowing Alta to pursue its claims for punitive damages in addition to its actual damages. (App. Br. p. 33 n.6)</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The order should reverse in full and remand, holding that Section 9.1(B)‘s consequential-damages waiver does not bar Alta’s claims against GE. On remand, Alta could pursue all damages flowing from GE’s fraudulent inducement - both consequential damages from the pre-Agreement fraud and punitive damages, since the district court’s dismissal of punitive damages was premised solely on Alta’s inability to recover actual damages.</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Italian Cowboy Partners, Ltd. v. Prudential Ins. Co. of Am., 341 S.W.3d 323 (Tex. 2011)</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reverse in full</w:t>
      </w:r>
      <w:r>
        <w:rPr>
          <w:rFonts w:ascii="JetBrains Mono" w:hAnsi="JetBrains Mono"/>
          <w:b w:val="0"/>
          <w:i w:val="0"/>
          <w:color w:val="9A9588"/>
          <w:sz w:val="18"/>
        </w:rPr>
        <w:t xml:space="preserve">  ·  </w:t>
      </w:r>
      <w:r>
        <w:rPr>
          <w:rFonts w:ascii="JetBrains Mono" w:hAnsi="JetBrains Mono"/>
          <w:b w:val="0"/>
          <w:i w:val="0"/>
          <w:color w:val="1A1814"/>
          <w:sz w:val="18"/>
        </w:rPr>
        <w:t>consequential-damages waiver does not cover</w:t>
      </w:r>
      <w:r>
        <w:rPr>
          <w:rFonts w:ascii="JetBrains Mono" w:hAnsi="JetBrains Mono"/>
          <w:b w:val="0"/>
          <w:i w:val="0"/>
          <w:color w:val="9A9588"/>
          <w:sz w:val="18"/>
        </w:rPr>
        <w:t xml:space="preserve">  ·  </w:t>
      </w:r>
      <w:r>
        <w:rPr>
          <w:rFonts w:ascii="JetBrains Mono" w:hAnsi="JetBrains Mono"/>
          <w:b w:val="0"/>
          <w:i w:val="0"/>
          <w:color w:val="1A1814"/>
          <w:sz w:val="18"/>
        </w:rPr>
        <w:t>remand for further proceedings</w:t>
      </w:r>
      <w:r>
        <w:rPr>
          <w:rFonts w:ascii="JetBrains Mono" w:hAnsi="JetBrains Mono"/>
          <w:b w:val="0"/>
          <w:i w:val="0"/>
          <w:color w:val="9A9588"/>
          <w:sz w:val="18"/>
        </w:rPr>
        <w:t xml:space="preserve">  ·  </w:t>
      </w:r>
      <w:r>
        <w:rPr>
          <w:rFonts w:ascii="JetBrains Mono" w:hAnsi="JetBrains Mono"/>
          <w:b w:val="0"/>
          <w:i w:val="0"/>
          <w:color w:val="1A1814"/>
          <w:sz w:val="18"/>
        </w:rPr>
        <w:t>punitive damages in addition to actual damages</w:t>
      </w:r>
      <w:r>
        <w:rPr>
          <w:rFonts w:ascii="JetBrains Mono" w:hAnsi="JetBrains Mono"/>
          <w:b w:val="0"/>
          <w:i w:val="0"/>
          <w:color w:val="9A9588"/>
          <w:sz w:val="18"/>
        </w:rPr>
        <w:t xml:space="preserve">  ·  </w:t>
      </w:r>
      <w:r>
        <w:rPr>
          <w:rFonts w:ascii="JetBrains Mono" w:hAnsi="JetBrains Mono"/>
          <w:b w:val="0"/>
          <w:i w:val="0"/>
          <w:color w:val="1A1814"/>
          <w:sz w:val="18"/>
        </w:rPr>
        <w:t>pre-Agreement fraud</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8A6F33"/>
              <w:bottom w:val="nil"/>
              <w:right w:val="nil"/>
            </w:tcBorders>
          </w:tcPr>
          <w:p>
            <w:pPr>
              <w:spacing w:after="40"/>
              <w:ind w:left="259"/>
            </w:pPr>
            <w:r>
              <w:rPr>
                <w:rFonts w:ascii="JetBrains Mono" w:hAnsi="JetBrains Mono"/>
                <w:b/>
                <w:color w:val="8A6F33"/>
                <w:sz w:val="16"/>
              </w:rPr>
              <w:t xml:space="preserve">• </w:t>
            </w:r>
            <w:r>
              <w:rPr>
                <w:rFonts w:ascii="JetBrains Mono" w:hAnsi="JetBrains Mono"/>
                <w:b w:val="0"/>
                <w:i w:val="0"/>
                <w:color w:val="6B6862"/>
                <w:sz w:val="16"/>
                <w:spacing w:val="36"/>
              </w:rPr>
              <w:t>CONSIDER</w:t>
            </w:r>
          </w:p>
          <w:p>
            <w:pPr>
              <w:spacing w:after="40"/>
              <w:ind w:left="259"/>
            </w:pPr>
            <w:r>
              <w:rPr>
                <w:rFonts w:ascii="EB Garamond" w:hAnsi="EB Garamond"/>
                <w:b w:val="0"/>
                <w:i w:val="0"/>
                <w:color w:val="1A1814"/>
                <w:sz w:val="22"/>
              </w:rPr>
              <w:t>The brief does not clearly delineate whether Alta seeks only damages from pre-Agreement fraud or whether post-Agreement conduct is also at issue, which could complicate the remand instructions.</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06  ·  </w:t>
      </w:r>
      <w:r>
        <w:rPr>
          <w:rFonts w:ascii="JetBrains Mono" w:hAnsi="JetBrains Mono"/>
          <w:b w:val="0"/>
          <w:i w:val="0"/>
          <w:color w:val="6B6862"/>
          <w:sz w:val="16"/>
          <w:spacing w:val="30"/>
        </w:rPr>
        <w:t>SOUTHWICK</w:t>
      </w:r>
    </w:p>
    <w:p>
      <w:pPr>
        <w:keepNext w:val="0"/>
        <w:spacing w:before="80" w:after="200"/>
      </w:pPr>
      <w:r>
        <w:rPr>
          <w:rFonts w:ascii="Cormorant Garamond" w:hAnsi="Cormorant Garamond"/>
          <w:b w:val="0"/>
          <w:i w:val="0"/>
          <w:color w:val="1A1814"/>
          <w:sz w:val="32"/>
        </w:rPr>
        <w:t>The GE-WattStock MOU was signed in June 2017 — nearly two years before the Master Agreement. That MOU expressly contemplated that GE could serve as WattStock’s subcontractor on TruePackage projects. How does your temporal argument survive the fact that the subcontractor relationship was at least contemplated before any of the alleged fraud occurred?</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Southwick has shown a pattern of pushing back when a party’s argument rests on a claim not affirmatively established in the record, and here GE’s brief points to the 2017 MOU as record evidence that rebutted Alta’s temporal theory below. Southwick may press whether Alta has a factual basis in the record for its assertion that GE had no subcontractor status — even inchoate — during the 2018 fraud period.</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“In fact, the agreement between GE and WattStock (which Alta was never shown until it was produced in this lawsuit) expressly disclaimed any partnership between the two relating to the TRUEPackage offering. ROA.21260-61; see ROA.22501-02.” (App. Br. p. 14)</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fraud occurred long before GE became a subcontractor in July 2019, see ROA.20526, when GE lied to Alta throughout 2018 and early 2019 about GE’s relationship with WattStock preceding the February 2019 Master Agreement.” (App. Br. p. 29)</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“By its terms, the MOU didn’t ‘create any partnership, corporation, agency or fiduciary relationship’ between GE and WattStock—it simply formalized their collaboration in providing refurbished turbines to developers hoping to purchase them more affordably. ROA.7874, 7882.”</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the MOU expressly disclaimed creating any partnership or agency relationship between GE and WattStock. A framework agreement that merely contemplates a possible future subcontractor relationship is fundamentally different from actually being a subcontractor. GE didn’t become WattStock’s subcontractor until July 2019, months after the fraud and after Alta signed the Master Agreement.</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Finley Resources, Inc. v. Headington Royalty, Inc., 672 S.W.3d 332 (Tex. 2023)</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expressly disclaimed any partnership</w:t>
      </w:r>
      <w:r>
        <w:rPr>
          <w:rFonts w:ascii="JetBrains Mono" w:hAnsi="JetBrains Mono"/>
          <w:b w:val="0"/>
          <w:i w:val="0"/>
          <w:color w:val="9A9588"/>
          <w:sz w:val="18"/>
        </w:rPr>
        <w:t xml:space="preserve">  ·  </w:t>
      </w:r>
      <w:r>
        <w:rPr>
          <w:rFonts w:ascii="JetBrains Mono" w:hAnsi="JetBrains Mono"/>
          <w:b w:val="0"/>
          <w:i w:val="0"/>
          <w:color w:val="1A1814"/>
          <w:sz w:val="18"/>
        </w:rPr>
        <w:t>July 2019</w:t>
      </w:r>
      <w:r>
        <w:rPr>
          <w:rFonts w:ascii="JetBrains Mono" w:hAnsi="JetBrains Mono"/>
          <w:b w:val="0"/>
          <w:i w:val="0"/>
          <w:color w:val="9A9588"/>
          <w:sz w:val="18"/>
        </w:rPr>
        <w:t xml:space="preserve">  ·  </w:t>
      </w:r>
      <w:r>
        <w:rPr>
          <w:rFonts w:ascii="JetBrains Mono" w:hAnsi="JetBrains Mono"/>
          <w:b w:val="0"/>
          <w:i w:val="0"/>
          <w:color w:val="1A1814"/>
          <w:sz w:val="18"/>
        </w:rPr>
        <w:t>mere framework agreement</w:t>
      </w:r>
      <w:r>
        <w:rPr>
          <w:rFonts w:ascii="JetBrains Mono" w:hAnsi="JetBrains Mono"/>
          <w:b w:val="0"/>
          <w:i w:val="0"/>
          <w:color w:val="9A9588"/>
          <w:sz w:val="18"/>
        </w:rPr>
        <w:t xml:space="preserve">  ·  </w:t>
      </w:r>
      <w:r>
        <w:rPr>
          <w:rFonts w:ascii="JetBrains Mono" w:hAnsi="JetBrains Mono"/>
          <w:b w:val="0"/>
          <w:i w:val="0"/>
          <w:color w:val="1A1814"/>
          <w:sz w:val="18"/>
        </w:rPr>
        <w:t>contemplated versus actual</w:t>
      </w:r>
      <w:r>
        <w:rPr>
          <w:rFonts w:ascii="JetBrains Mono" w:hAnsi="JetBrains Mono"/>
          <w:b w:val="0"/>
          <w:i w:val="0"/>
          <w:color w:val="9A9588"/>
          <w:sz w:val="18"/>
        </w:rPr>
        <w:t xml:space="preserve">  ·  </w:t>
      </w:r>
      <w:r>
        <w:rPr>
          <w:rFonts w:ascii="JetBrains Mono" w:hAnsi="JetBrains Mono"/>
          <w:b w:val="0"/>
          <w:i w:val="0"/>
          <w:color w:val="1A1814"/>
          <w:sz w:val="18"/>
        </w:rPr>
        <w:t>throughout 2018 and early 2019</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the MOU established that GE could serve as a subcontractor to WattStock on Alta’s project and that the record conclusively rebuts Alta’s assertion that the alleged conduct occurred before GE became a subcontractor.</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Even if the MOU showed some relationship existed, the critical point is that GE misrepresented the nature and binding quality of that relationship to induce Alta’s reliance.</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the MOU establishes GE’s subcontractor status during the fraud period, because Alta’s brief argues the MOU expressly disclaimed any partnership between GE and WattStock, GE did not actually enter a written subcontract for Alta’s project until July 2019 at the earliest, and a mere framework agreement does not constitute the subcontractor relationship referenced in Section 9.1(B).</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07  ·  </w:t>
      </w:r>
      <w:r>
        <w:rPr>
          <w:rFonts w:ascii="JetBrains Mono" w:hAnsi="JetBrains Mono"/>
          <w:b w:val="0"/>
          <w:i w:val="0"/>
          <w:color w:val="6B6862"/>
          <w:sz w:val="16"/>
          <w:spacing w:val="30"/>
        </w:rPr>
        <w:t>SOUTHWICK</w:t>
      </w:r>
    </w:p>
    <w:p>
      <w:pPr>
        <w:keepNext w:val="0"/>
        <w:spacing w:before="80" w:after="200"/>
      </w:pPr>
      <w:r>
        <w:rPr>
          <w:rFonts w:ascii="Cormorant Garamond" w:hAnsi="Cormorant Garamond"/>
          <w:b w:val="0"/>
          <w:i w:val="0"/>
          <w:color w:val="1A1814"/>
          <w:sz w:val="32"/>
        </w:rPr>
        <w:t>You argue that Section 9.1(B)‘s list of causes of action — negligence, strict liability, breach of contract, breach of warranty — excludes intentional torts under expressio unius. But the opening clause of that same sentence says the waiver covers ’any cause of action.‘ How do you square reading ’any cause of action‘ broadly in the first clause but then narrowing it through the illustrative list that follows?</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Southwick’s pattern of demanding counsel address specific contractual text by section number and expecting direct textual responses — not general principles — may fire here when Alta’s expressio unius argument requires reading ‘including’ as exclusive despite the ‘any cause of action’ language that precedes it in the same sentence. The internal textual tension is the kind of specific provision-level inconsistency Southwick tends to surface.</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“Section 9.1(B) contains two ‘lists’ that clarify its intended scope: (1) a list of different categories of consequential damages arising from (2) a list of different causes of action. ROA.21270. Section 9.1(B) employs the phrase ‘shall include but is not limited to’ to tee up the (unlimited) categories of consequential damages that the provision waives. ROA.21270. Then, when Section 9.1(B) enumerates the causes of action to which the waiver applies, it uses the more limited phrase ‘including,’ followed by a list of causes of action involving only breaches of contracts and warranties, and unintentional torts.”</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“With this more limited ‘including’ language, ‘any cause of action’ should be read in light of the list that follows it. Waak v. Rodriguez, 603 S.W.3d 103, 108 (Tex. 2020) (‘including’ language limited broader ‘any person’ language by the types of examples covered by statute because ‘[i]f the statute meant any person at all, then the four examples listed would be surplusage’).”</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the provision uses different language for its two lists - ‘shall include but is not limited to’ for consequential damages, but just ‘including’ for causes of action. That disparate usage signals that while the damages categories are unlimited, the causes of action are exemplified by and limited to the types listed - all unintentional torts. As Waak teaches, we read ‘any’ in light of the specific examples that follow.</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Waak v. Rodriguez, 603 S.W.3d 103 (Tex. 2020)</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disparate usage</w:t>
      </w:r>
      <w:r>
        <w:rPr>
          <w:rFonts w:ascii="JetBrains Mono" w:hAnsi="JetBrains Mono"/>
          <w:b w:val="0"/>
          <w:i w:val="0"/>
          <w:color w:val="9A9588"/>
          <w:sz w:val="18"/>
        </w:rPr>
        <w:t xml:space="preserve">  ·  </w:t>
      </w:r>
      <w:r>
        <w:rPr>
          <w:rFonts w:ascii="JetBrains Mono" w:hAnsi="JetBrains Mono"/>
          <w:b w:val="0"/>
          <w:i w:val="0"/>
          <w:color w:val="1A1814"/>
          <w:sz w:val="18"/>
        </w:rPr>
        <w:t>shall include but is not limited to</w:t>
      </w:r>
      <w:r>
        <w:rPr>
          <w:rFonts w:ascii="JetBrains Mono" w:hAnsi="JetBrains Mono"/>
          <w:b w:val="0"/>
          <w:i w:val="0"/>
          <w:color w:val="9A9588"/>
          <w:sz w:val="18"/>
        </w:rPr>
        <w:t xml:space="preserve">  ·  </w:t>
      </w:r>
      <w:r>
        <w:rPr>
          <w:rFonts w:ascii="JetBrains Mono" w:hAnsi="JetBrains Mono"/>
          <w:b w:val="0"/>
          <w:i w:val="0"/>
          <w:color w:val="1A1814"/>
          <w:sz w:val="18"/>
        </w:rPr>
        <w:t>including</w:t>
      </w:r>
      <w:r>
        <w:rPr>
          <w:rFonts w:ascii="JetBrains Mono" w:hAnsi="JetBrains Mono"/>
          <w:b w:val="0"/>
          <w:i w:val="0"/>
          <w:color w:val="9A9588"/>
          <w:sz w:val="18"/>
        </w:rPr>
        <w:t xml:space="preserve">  ·  </w:t>
      </w:r>
      <w:r>
        <w:rPr>
          <w:rFonts w:ascii="JetBrains Mono" w:hAnsi="JetBrains Mono"/>
          <w:b w:val="0"/>
          <w:i w:val="0"/>
          <w:color w:val="1A1814"/>
          <w:sz w:val="18"/>
        </w:rPr>
        <w:t>unintentional torts</w:t>
      </w:r>
      <w:r>
        <w:rPr>
          <w:rFonts w:ascii="JetBrains Mono" w:hAnsi="JetBrains Mono"/>
          <w:b w:val="0"/>
          <w:i w:val="0"/>
          <w:color w:val="9A9588"/>
          <w:sz w:val="18"/>
        </w:rPr>
        <w:t xml:space="preserve">  ·  </w:t>
      </w:r>
      <w:r>
        <w:rPr>
          <w:rFonts w:ascii="JetBrains Mono" w:hAnsi="JetBrains Mono"/>
          <w:b w:val="0"/>
          <w:i w:val="0"/>
          <w:color w:val="1A1814"/>
          <w:sz w:val="18"/>
        </w:rPr>
        <w:t>Waak v. Rodriguez</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the word ‘any’ has an expansive meaning and that ‘including’ is generally given an expansive reading, not a limiting one, and that nothing in the text distinguishes between intentional and unintentional torts.</w:t>
      </w:r>
    </w:p>
    <w:p>
      <w:r>
        <w:br w:type="page"/>
      </w:r>
    </w:p>
    <w:p>
      <w:pPr>
        <w:keepNext w:val="0"/>
        <w:spacing w:before="0" w:after="40"/>
      </w:pPr>
      <w:r>
        <w:rPr>
          <w:rFonts w:ascii="JetBrains Mono" w:hAnsi="JetBrains Mono"/>
          <w:b w:val="0"/>
          <w:i w:val="0"/>
          <w:color w:val="B8913D"/>
          <w:sz w:val="16"/>
        </w:rPr>
        <w:t xml:space="preserve">Q 08  ·  </w:t>
      </w:r>
      <w:r>
        <w:rPr>
          <w:rFonts w:ascii="JetBrains Mono" w:hAnsi="JetBrains Mono"/>
          <w:b w:val="0"/>
          <w:i w:val="0"/>
          <w:color w:val="6B6862"/>
          <w:sz w:val="16"/>
          <w:spacing w:val="30"/>
        </w:rPr>
        <w:t>SOUTHWICK</w:t>
      </w:r>
    </w:p>
    <w:p>
      <w:pPr>
        <w:keepNext w:val="0"/>
        <w:spacing w:before="80" w:after="200"/>
      </w:pPr>
      <w:r>
        <w:rPr>
          <w:rFonts w:ascii="Cormorant Garamond" w:hAnsi="Cormorant Garamond"/>
          <w:b w:val="0"/>
          <w:i w:val="0"/>
          <w:color w:val="1A1814"/>
          <w:sz w:val="32"/>
        </w:rPr>
        <w:t>Three courts have now looked at this waiver provision — the state court, the bankruptcy court, and the district court. The first two denied motions to dismiss; the district court granted summary judgment. What changed in the record between the motion-to-dismiss stage and summary judgment that would justify a different outcome, or are you asking this Court to conclude those first two courts simply got the legal question wrong?</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Southwick has shown a pattern of probing specific record facts and procedural history rather than abstract doctrine, and the unusual posture — two prior rejections of the same argument followed by a grant of summary judgment — creates a natural factual inquiry into what, if anything, changed in the record. Southwick may press whether Alta’s position requires distinguishing the procedural postures or accepting that the legal question was wrongly decided twice.</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 state court and a bankruptcy court had already rejected that argument twice” (App. Br. p. 3)</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Alta’s reliance (at 3, 33) on two orders denying motions to dismiss in this case is irrelevant and overblown. Both are single-page orders without any reasoning. (Br. p. 32 n.7)</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those were single-page orders without any reasoning at the motion-to-dismiss stage. By summary judgment, the full factual record was developed, including Alta’s own admissions in the Cancellation Fee Agreement and CFO letter acknowledging GE as a subcontractor. We believe the legal question should be decided on this complete record and the plain text of the agreement.</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Bombardier Aerospace Corp. v. SPEP Aircraft Holdings, LLC, 572 S.W.3d 213 (Tex. 2019)</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single-page orders</w:t>
      </w:r>
      <w:r>
        <w:rPr>
          <w:rFonts w:ascii="JetBrains Mono" w:hAnsi="JetBrains Mono"/>
          <w:b w:val="0"/>
          <w:i w:val="0"/>
          <w:color w:val="9A9588"/>
          <w:sz w:val="18"/>
        </w:rPr>
        <w:t xml:space="preserve">  ·  </w:t>
      </w:r>
      <w:r>
        <w:rPr>
          <w:rFonts w:ascii="JetBrains Mono" w:hAnsi="JetBrains Mono"/>
          <w:b w:val="0"/>
          <w:i w:val="0"/>
          <w:color w:val="1A1814"/>
          <w:sz w:val="18"/>
        </w:rPr>
        <w:t>without any reasoning</w:t>
      </w:r>
      <w:r>
        <w:rPr>
          <w:rFonts w:ascii="JetBrains Mono" w:hAnsi="JetBrains Mono"/>
          <w:b w:val="0"/>
          <w:i w:val="0"/>
          <w:color w:val="9A9588"/>
          <w:sz w:val="18"/>
        </w:rPr>
        <w:t xml:space="preserve">  ·  </w:t>
      </w:r>
      <w:r>
        <w:rPr>
          <w:rFonts w:ascii="JetBrains Mono" w:hAnsi="JetBrains Mono"/>
          <w:b w:val="0"/>
          <w:i w:val="0"/>
          <w:color w:val="1A1814"/>
          <w:sz w:val="18"/>
        </w:rPr>
        <w:t>motion-to-dismiss stage</w:t>
      </w:r>
      <w:r>
        <w:rPr>
          <w:rFonts w:ascii="JetBrains Mono" w:hAnsi="JetBrains Mono"/>
          <w:b w:val="0"/>
          <w:i w:val="0"/>
          <w:color w:val="9A9588"/>
          <w:sz w:val="18"/>
        </w:rPr>
        <w:t xml:space="preserve">  ·  </w:t>
      </w:r>
      <w:r>
        <w:rPr>
          <w:rFonts w:ascii="JetBrains Mono" w:hAnsi="JetBrains Mono"/>
          <w:b w:val="0"/>
          <w:i w:val="0"/>
          <w:color w:val="1A1814"/>
          <w:sz w:val="18"/>
        </w:rPr>
        <w:t>summary-judgment record</w:t>
      </w:r>
      <w:r>
        <w:rPr>
          <w:rFonts w:ascii="JetBrains Mono" w:hAnsi="JetBrains Mono"/>
          <w:b w:val="0"/>
          <w:i w:val="0"/>
          <w:color w:val="9A9588"/>
          <w:sz w:val="18"/>
        </w:rPr>
        <w:t xml:space="preserve">  ·  </w:t>
      </w:r>
      <w:r>
        <w:rPr>
          <w:rFonts w:ascii="JetBrains Mono" w:hAnsi="JetBrains Mono"/>
          <w:b w:val="0"/>
          <w:i w:val="0"/>
          <w:color w:val="1A1814"/>
          <w:sz w:val="18"/>
        </w:rPr>
        <w:t>legal question</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both prior orders were single-page, unreasoned rulings on motions to dismiss, and the summary-judgment record contains admissions that were not before those earlier courts.</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Regardless of the procedural history, the controlling question is the plain text of Section 9.1(B) and whether it can retroactively immunize fraud that induced the agreement itself.</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the prior orders have significant persuasive weight, because GE’s brief argues both prior orders were single-page, unreasoned rulings on motions to dismiss with no factual development, and the summary-judgment record contains admissions — including the Cancellation Fee Agreement and Alta’s own CFO letter — that were not before those earlier courts.</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09  ·  </w:t>
      </w:r>
      <w:r>
        <w:rPr>
          <w:rFonts w:ascii="JetBrains Mono" w:hAnsi="JetBrains Mono"/>
          <w:b w:val="0"/>
          <w:i w:val="0"/>
          <w:color w:val="6B6862"/>
          <w:sz w:val="16"/>
          <w:spacing w:val="30"/>
        </w:rPr>
        <w:t>SOUTHWICK</w:t>
      </w:r>
    </w:p>
    <w:p>
      <w:pPr>
        <w:keepNext w:val="0"/>
        <w:spacing w:before="80" w:after="200"/>
      </w:pPr>
      <w:r>
        <w:rPr>
          <w:rFonts w:ascii="Cormorant Garamond" w:hAnsi="Cormorant Garamond"/>
          <w:b w:val="0"/>
          <w:i w:val="0"/>
          <w:color w:val="1A1814"/>
          <w:sz w:val="32"/>
        </w:rPr>
        <w:t>GE’s brief argues that even if you win on the waiver issue, the lost-profits claim independently fails because Alta never secured financing, never built a plant, and never operated it — and that recovering $400 million from a venture that never left the ground is impermissibly speculative under American Midstream. How do you respond to the speculation argument?</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Southwick has shown a pattern of skepticism toward theoretical harm or prematurely asserted rights that lack a concrete factual finding, and the lost-profits claim here depends on a cascade of assumptions that the American Midstream decision addresses directly. Even if Southwick focuses primarily on the waiver issues, the alternative-grounds argument may draw a question probing whether Alta has the record support to survive the speculation bar.</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“Alta never got its turbines. After fraudulently coaxing Alta into signing with WattStock by claiming WattStock was its partner, GE’s tortious campaign to destroy the refurbished-turbine market entered its next phase.” (App. Br. p. 12)</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Court should reverse the district court’s judgment in full, hold that the consequential-damages waiver does not cover Alta’s claims against GE, and remand for further proceedings.” (App. Br. p. 33)</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The brief does not appear to directly address this question.</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Am. Midstream (Ala. Intrastate), LLC v. Rainbow Energy Mktg. Corp., 714 S.W.3d 572 (Tex. 2025)</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fraudulently coaxing</w:t>
      </w:r>
      <w:r>
        <w:rPr>
          <w:rFonts w:ascii="JetBrains Mono" w:hAnsi="JetBrains Mono"/>
          <w:b w:val="0"/>
          <w:i w:val="0"/>
          <w:color w:val="9A9588"/>
          <w:sz w:val="18"/>
        </w:rPr>
        <w:t xml:space="preserve">  ·  </w:t>
      </w:r>
      <w:r>
        <w:rPr>
          <w:rFonts w:ascii="JetBrains Mono" w:hAnsi="JetBrains Mono"/>
          <w:b w:val="0"/>
          <w:i w:val="0"/>
          <w:color w:val="1A1814"/>
          <w:sz w:val="18"/>
        </w:rPr>
        <w:t>tortious campaign</w:t>
      </w:r>
      <w:r>
        <w:rPr>
          <w:rFonts w:ascii="JetBrains Mono" w:hAnsi="JetBrains Mono"/>
          <w:b w:val="0"/>
          <w:i w:val="0"/>
          <w:color w:val="9A9588"/>
          <w:sz w:val="18"/>
        </w:rPr>
        <w:t xml:space="preserve">  ·  </w:t>
      </w:r>
      <w:r>
        <w:rPr>
          <w:rFonts w:ascii="JetBrains Mono" w:hAnsi="JetBrains Mono"/>
          <w:b w:val="0"/>
          <w:i w:val="0"/>
          <w:color w:val="1A1814"/>
          <w:sz w:val="18"/>
        </w:rPr>
        <w:t>Winter Storm Uri</w:t>
      </w:r>
      <w:r>
        <w:rPr>
          <w:rFonts w:ascii="JetBrains Mono" w:hAnsi="JetBrains Mono"/>
          <w:b w:val="0"/>
          <w:i w:val="0"/>
          <w:color w:val="9A9588"/>
          <w:sz w:val="18"/>
        </w:rPr>
        <w:t xml:space="preserve">  ·  </w:t>
      </w:r>
      <w:r>
        <w:rPr>
          <w:rFonts w:ascii="JetBrains Mono" w:hAnsi="JetBrains Mono"/>
          <w:b w:val="0"/>
          <w:i w:val="0"/>
          <w:color w:val="1A1814"/>
          <w:sz w:val="18"/>
        </w:rPr>
        <w:t>but-for causation</w:t>
      </w:r>
      <w:r>
        <w:rPr>
          <w:rFonts w:ascii="JetBrains Mono" w:hAnsi="JetBrains Mono"/>
          <w:b w:val="0"/>
          <w:i w:val="0"/>
          <w:color w:val="9A9588"/>
          <w:sz w:val="18"/>
        </w:rPr>
        <w:t xml:space="preserve">  ·  </w:t>
      </w:r>
      <w:r>
        <w:rPr>
          <w:rFonts w:ascii="JetBrains Mono" w:hAnsi="JetBrains Mono"/>
          <w:b w:val="0"/>
          <w:i w:val="0"/>
          <w:color w:val="1A1814"/>
          <w:sz w:val="18"/>
        </w:rPr>
        <w:t>remand for further proceedings</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Alta’s lost-profits claim depends on speculation about financing it never secured, a plant it never built, profits it never earned, and assumes Alta could operate continuously during Winter Storm Uri when most gas-fired plants went offline.</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the Court has concerns about speculation, that’s a fact issue for remand - the threshold question is whether the waiver bars the claim entirely.</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American Midstream compels the same result here, because Alta may argue its damages are tied to a specific, documented market event — Winter Storm Uri — and an established business model, distinguishing the purely hypothetical pipeline-arbitrage venture in American Midstream.</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8A6F33"/>
              <w:bottom w:val="nil"/>
              <w:right w:val="nil"/>
            </w:tcBorders>
          </w:tcPr>
          <w:p>
            <w:pPr>
              <w:spacing w:after="40"/>
              <w:ind w:left="259"/>
            </w:pPr>
            <w:r>
              <w:rPr>
                <w:rFonts w:ascii="JetBrains Mono" w:hAnsi="JetBrains Mono"/>
                <w:b/>
                <w:color w:val="8A6F33"/>
                <w:sz w:val="16"/>
              </w:rPr>
              <w:t xml:space="preserve">• </w:t>
            </w:r>
            <w:r>
              <w:rPr>
                <w:rFonts w:ascii="JetBrains Mono" w:hAnsi="JetBrains Mono"/>
                <w:b w:val="0"/>
                <w:i w:val="0"/>
                <w:color w:val="6B6862"/>
                <w:sz w:val="16"/>
                <w:spacing w:val="36"/>
              </w:rPr>
              <w:t>CONSIDER</w:t>
            </w:r>
          </w:p>
          <w:p>
            <w:pPr>
              <w:spacing w:after="40"/>
              <w:ind w:left="259"/>
            </w:pPr>
            <w:r>
              <w:rPr>
                <w:rFonts w:ascii="EB Garamond" w:hAnsi="EB Garamond"/>
                <w:b w:val="0"/>
                <w:i w:val="0"/>
                <w:color w:val="1A1814"/>
                <w:sz w:val="22"/>
              </w:rPr>
              <w:t>The brief focuses entirely on the waiver issues and does not address the speculation/American Midstream argument, leaving Alta potentially vulnerable on this alternative ground for affirmance.</w:t>
            </w:r>
          </w:p>
        </w:tc>
      </w:tr>
    </w:tbl>
    <w:p>
      <w:pPr>
        <w:keepNext w:val="0"/>
        <w:spacing w:before="0" w:after="160"/>
      </w:pPr>
    </w:p>
    <w:p>
      <w:r>
        <w:br w:type="page"/>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JUDGE  ·  ENGELHARDT</w:t>
      </w:r>
    </w:p>
    <w:p>
      <w:pPr>
        <w:keepNext/>
        <w:spacing w:before="280" w:after="120"/>
      </w:pPr>
      <w:r>
        <w:rPr>
          <w:rFonts w:ascii="Cormorant Garamond" w:hAnsi="Cormorant Garamond"/>
          <w:b w:val="0"/>
          <w:i w:val="0"/>
          <w:color w:val="1A1814"/>
          <w:sz w:val="32"/>
        </w:rPr>
        <w:t>Engelhardt</w:t>
      </w:r>
    </w:p>
    <w:p>
      <w:r>
        <w:br w:type="page"/>
      </w:r>
    </w:p>
    <w:p>
      <w:pPr>
        <w:keepNext w:val="0"/>
        <w:spacing w:before="0" w:after="40"/>
      </w:pPr>
      <w:r>
        <w:rPr>
          <w:rFonts w:ascii="JetBrains Mono" w:hAnsi="JetBrains Mono"/>
          <w:b w:val="0"/>
          <w:i w:val="0"/>
          <w:color w:val="B8913D"/>
          <w:sz w:val="16"/>
        </w:rPr>
        <w:t xml:space="preserve">Q 01  ·  </w:t>
      </w:r>
      <w:r>
        <w:rPr>
          <w:rFonts w:ascii="JetBrains Mono" w:hAnsi="JetBrains Mono"/>
          <w:b w:val="0"/>
          <w:i w:val="0"/>
          <w:color w:val="6B6862"/>
          <w:sz w:val="16"/>
          <w:spacing w:val="30"/>
        </w:rPr>
        <w:t>ENGELHARDT</w:t>
      </w:r>
    </w:p>
    <w:p>
      <w:pPr>
        <w:keepNext w:val="0"/>
        <w:spacing w:before="80" w:after="200"/>
      </w:pPr>
      <w:r>
        <w:rPr>
          <w:rFonts w:ascii="Cormorant Garamond" w:hAnsi="Cormorant Garamond"/>
          <w:b w:val="0"/>
          <w:i w:val="0"/>
          <w:color w:val="1A1814"/>
          <w:sz w:val="32"/>
        </w:rPr>
        <w:t>Counsel, your core argument is that the word ‘subcontractors’ in Section 9.1(B) implicitly limits the waiver to conduct GE carried out in its subcontractor capacity. Give me the single best case that supplies a workable limiting principle for that reading—one that actually holds that a category-based third-party beneficiary clause covers only conduct taken in that specific capacity.</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Engelhardt has a strong pattern of demanding the single best case on point rather than accepting general legal arguments, and will press repeatedly until counsel identifies the precise textual or doctrinal anchor for the limiting principle. Here, neither brief identifies a case squarely holding that a category-defined third-party beneficiary clause is limited to conduct taken in that category’s capacity, making this the most predictable pressure point.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waiver does not protect anyone who becomes a subcontractor; it protects a subcontractor qua subcontractor.” (App. Br. p. 29)</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“That is precisely what GE does here by arguing that it is retroactively immunized because it became a subcontractor after its fraudulent conduct. That is not a reasonable interpretation of the Agreement.” (App. Br. p. 31)</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“Section 9.1(B)‘s plain text. Section 9.1(B) expressly extends the consequential-damages waiver beyond the contracting parties to ’their respective officers, directors, partners, employees, representatives, contractors or subcontractors.‘” (Br. p. 28)</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the principle comes from Finley Resources, where the Texas Supreme Court held that the term ‘predecessors’ in a release must be interpreted in its grammatical context. Just as Finley limited ‘predecessors’ to corporate predecessors rather than predecessors-in-interest, Section 9.1(B)‘s reference to ’subcontractors‘ must be limited to conduct undertaken in that capacity.</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Finley Resources, Inc. v. Headington Royalty, Inc.</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subcontractor qua subcontractor</w:t>
      </w:r>
      <w:r>
        <w:rPr>
          <w:rFonts w:ascii="JetBrains Mono" w:hAnsi="JetBrains Mono"/>
          <w:b w:val="0"/>
          <w:i w:val="0"/>
          <w:color w:val="9A9588"/>
          <w:sz w:val="18"/>
        </w:rPr>
        <w:t xml:space="preserve">  ·  </w:t>
      </w:r>
      <w:r>
        <w:rPr>
          <w:rFonts w:ascii="JetBrains Mono" w:hAnsi="JetBrains Mono"/>
          <w:b w:val="0"/>
          <w:i w:val="0"/>
          <w:color w:val="1A1814"/>
          <w:sz w:val="18"/>
        </w:rPr>
        <w:t>capacity limitation</w:t>
      </w:r>
      <w:r>
        <w:rPr>
          <w:rFonts w:ascii="JetBrains Mono" w:hAnsi="JetBrains Mono"/>
          <w:b w:val="0"/>
          <w:i w:val="0"/>
          <w:color w:val="9A9588"/>
          <w:sz w:val="18"/>
        </w:rPr>
        <w:t xml:space="preserve">  ·  </w:t>
      </w:r>
      <w:r>
        <w:rPr>
          <w:rFonts w:ascii="JetBrains Mono" w:hAnsi="JetBrains Mono"/>
          <w:b w:val="0"/>
          <w:i w:val="0"/>
          <w:color w:val="1A1814"/>
          <w:sz w:val="18"/>
        </w:rPr>
        <w:t>retroactive immunization</w:t>
      </w:r>
      <w:r>
        <w:rPr>
          <w:rFonts w:ascii="JetBrains Mono" w:hAnsi="JetBrains Mono"/>
          <w:b w:val="0"/>
          <w:i w:val="0"/>
          <w:color w:val="9A9588"/>
          <w:sz w:val="18"/>
        </w:rPr>
        <w:t xml:space="preserve">  ·  </w:t>
      </w:r>
      <w:r>
        <w:rPr>
          <w:rFonts w:ascii="JetBrains Mono" w:hAnsi="JetBrains Mono"/>
          <w:b w:val="0"/>
          <w:i w:val="0"/>
          <w:color w:val="1A1814"/>
          <w:sz w:val="18"/>
        </w:rPr>
        <w:t>context-based interpretation</w:t>
      </w:r>
      <w:r>
        <w:rPr>
          <w:rFonts w:ascii="JetBrains Mono" w:hAnsi="JetBrains Mono"/>
          <w:b w:val="0"/>
          <w:i w:val="0"/>
          <w:color w:val="9A9588"/>
          <w:sz w:val="18"/>
        </w:rPr>
        <w:t xml:space="preserve">  ·  </w:t>
      </w:r>
      <w:r>
        <w:rPr>
          <w:rFonts w:ascii="JetBrains Mono" w:hAnsi="JetBrains Mono"/>
          <w:b w:val="0"/>
          <w:i w:val="0"/>
          <w:color w:val="1A1814"/>
          <w:sz w:val="18"/>
        </w:rPr>
        <w:t>Finley Resources</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Texas law provides no support for Alta’s capacity theory and that third-party beneficiaries ‘step into the shoes’ of contracting parties with full rights to enforce the agreement.</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the Court finds Finley distinguishable, we would emphasize that the temporal relationship matters—GE cannot claim protection for conduct that preceded both the Agreement and its subcontractor status.</w:t>
      </w:r>
    </w:p>
    <w:p>
      <w:r>
        <w:br w:type="page"/>
      </w:r>
    </w:p>
    <w:p>
      <w:pPr>
        <w:keepNext w:val="0"/>
        <w:spacing w:before="0" w:after="40"/>
      </w:pPr>
      <w:r>
        <w:rPr>
          <w:rFonts w:ascii="JetBrains Mono" w:hAnsi="JetBrains Mono"/>
          <w:b w:val="0"/>
          <w:i w:val="0"/>
          <w:color w:val="B8913D"/>
          <w:sz w:val="16"/>
        </w:rPr>
        <w:t xml:space="preserve">Q 02  ·  </w:t>
      </w:r>
      <w:r>
        <w:rPr>
          <w:rFonts w:ascii="JetBrains Mono" w:hAnsi="JetBrains Mono"/>
          <w:b w:val="0"/>
          <w:i w:val="0"/>
          <w:color w:val="6B6862"/>
          <w:sz w:val="16"/>
          <w:spacing w:val="30"/>
        </w:rPr>
        <w:t>ENGELHARDT</w:t>
      </w:r>
    </w:p>
    <w:p>
      <w:pPr>
        <w:keepNext w:val="0"/>
        <w:spacing w:before="80" w:after="200"/>
      </w:pPr>
      <w:r>
        <w:rPr>
          <w:rFonts w:ascii="Cormorant Garamond" w:hAnsi="Cormorant Garamond"/>
          <w:b w:val="0"/>
          <w:i w:val="0"/>
          <w:color w:val="1A1814"/>
          <w:sz w:val="32"/>
        </w:rPr>
        <w:t>Assume I accept that ‘subcontractors’ carries some implicit capacity limitation. What is the precise boundary of that limitation—and what prevents a plaintiff from always recharacterizing a defendant’s conduct as ‘outside its subcontractor role’ to escape any third-party damages waiver?</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Engelhardt tends to isolate the exact limiting principle of an argument and press for its outer boundaries, often exposing whether the principle collapses under pressure. The concern that Alta’s capacity theory has no limiting principle—because any conduct can be framed as outside a subcontractor’s role—maps directly onto GE’s brief and is the diagnostic question Engelhardt is likely to pose.</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“Section 9.1(B) ties the scope of the waiver by subject matter to the Master Agreement.”</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“If anything, it’s Alta’s atextual capacity theory that has no limiting principle—essentially rendering the agreed-to waiver a dead letter.” (Br. p. 35)</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The boundary is the Agreement’s subject-matter limitation—the conduct must both occur in a subcontractor capacity and be ‘connected to’ the Master Agreement. A subcontractor installing unrelated equipment on a different project couldn’t invoke this waiver, preventing the parade of horribles Your Honor describes.</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Texaco Expl. &amp; Prod., Inc. v. AmClyde Engineered Prods. Co.</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subject-matter limitation</w:t>
      </w:r>
      <w:r>
        <w:rPr>
          <w:rFonts w:ascii="JetBrains Mono" w:hAnsi="JetBrains Mono"/>
          <w:b w:val="0"/>
          <w:i w:val="0"/>
          <w:color w:val="9A9588"/>
          <w:sz w:val="18"/>
        </w:rPr>
        <w:t xml:space="preserve">  ·  </w:t>
      </w:r>
      <w:r>
        <w:rPr>
          <w:rFonts w:ascii="JetBrains Mono" w:hAnsi="JetBrains Mono"/>
          <w:b w:val="0"/>
          <w:i w:val="0"/>
          <w:color w:val="1A1814"/>
          <w:sz w:val="18"/>
        </w:rPr>
        <w:t>arising out of or connected to</w:t>
      </w:r>
      <w:r>
        <w:rPr>
          <w:rFonts w:ascii="JetBrains Mono" w:hAnsi="JetBrains Mono"/>
          <w:b w:val="0"/>
          <w:i w:val="0"/>
          <w:color w:val="9A9588"/>
          <w:sz w:val="18"/>
        </w:rPr>
        <w:t xml:space="preserve">  ·  </w:t>
      </w:r>
      <w:r>
        <w:rPr>
          <w:rFonts w:ascii="JetBrains Mono" w:hAnsi="JetBrains Mono"/>
          <w:b w:val="0"/>
          <w:i w:val="0"/>
          <w:color w:val="1A1814"/>
          <w:sz w:val="18"/>
        </w:rPr>
        <w:t>creative pleading</w:t>
      </w:r>
      <w:r>
        <w:rPr>
          <w:rFonts w:ascii="JetBrains Mono" w:hAnsi="JetBrains Mono"/>
          <w:b w:val="0"/>
          <w:i w:val="0"/>
          <w:color w:val="9A9588"/>
          <w:sz w:val="18"/>
        </w:rPr>
        <w:t xml:space="preserve">  ·  </w:t>
      </w:r>
      <w:r>
        <w:rPr>
          <w:rFonts w:ascii="JetBrains Mono" w:hAnsi="JetBrains Mono"/>
          <w:b w:val="0"/>
          <w:i w:val="0"/>
          <w:color w:val="1A1814"/>
          <w:sz w:val="18"/>
        </w:rPr>
        <w:t>Master Agreement nexus</w:t>
      </w:r>
      <w:r>
        <w:rPr>
          <w:rFonts w:ascii="JetBrains Mono" w:hAnsi="JetBrains Mono"/>
          <w:b w:val="0"/>
          <w:i w:val="0"/>
          <w:color w:val="9A9588"/>
          <w:sz w:val="18"/>
        </w:rPr>
        <w:t xml:space="preserve">  ·  </w:t>
      </w:r>
      <w:r>
        <w:rPr>
          <w:rFonts w:ascii="JetBrains Mono" w:hAnsi="JetBrains Mono"/>
          <w:b w:val="0"/>
          <w:i w:val="0"/>
          <w:color w:val="1A1814"/>
          <w:sz w:val="18"/>
        </w:rPr>
        <w:t>business relationship</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contends that the only limitation is whether the claim is ‘connected’ to the Master Agreement, and that Alta’s capacity theory would render the waiver a dead letter through creative pleading.</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Even accepting appellee’s concerns about line-drawing, the Court must still give meaning to the word ‘subcontractors’ rather than treating it as synonymous with ‘anyone.’</w:t>
      </w:r>
    </w:p>
    <w:p>
      <w:r>
        <w:br w:type="page"/>
      </w:r>
    </w:p>
    <w:p>
      <w:pPr>
        <w:keepNext w:val="0"/>
        <w:spacing w:before="0" w:after="40"/>
      </w:pPr>
      <w:r>
        <w:rPr>
          <w:rFonts w:ascii="JetBrains Mono" w:hAnsi="JetBrains Mono"/>
          <w:b w:val="0"/>
          <w:i w:val="0"/>
          <w:color w:val="B8913D"/>
          <w:sz w:val="16"/>
        </w:rPr>
        <w:t xml:space="preserve">Q 03  ·  </w:t>
      </w:r>
      <w:r>
        <w:rPr>
          <w:rFonts w:ascii="JetBrains Mono" w:hAnsi="JetBrains Mono"/>
          <w:b w:val="0"/>
          <w:i w:val="0"/>
          <w:color w:val="6B6862"/>
          <w:sz w:val="16"/>
          <w:spacing w:val="30"/>
        </w:rPr>
        <w:t>ENGELHARDT</w:t>
      </w:r>
    </w:p>
    <w:p>
      <w:pPr>
        <w:keepNext w:val="0"/>
        <w:spacing w:before="80" w:after="200"/>
      </w:pPr>
      <w:r>
        <w:rPr>
          <w:rFonts w:ascii="Cormorant Garamond" w:hAnsi="Cormorant Garamond"/>
          <w:b w:val="0"/>
          <w:i w:val="0"/>
          <w:color w:val="1A1814"/>
          <w:sz w:val="32"/>
        </w:rPr>
        <w:t>In prior proceedings in this case, Alta alleged that GE was WattStock’s ‘partner’ and effectively ‘a party to the Master Agreement.’ If GE was a party or partner, the waiver unambiguously covers GE. How do you reconcile that prior litigation posture with your current argument that GE cannot invoke the waiver?</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Engelhardt has shown a clear pattern of pressing counsel when there is a discrepancy between a prior position in the record and the argument being advanced on appeal. The record here contains Alta’s own pleading characterizing GE as WattStock’s ‘affiliate,’ ‘representative,’ or effectively ‘a party to the Master Agreement,’ which stands in direct tension with Alta’s current argument.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“Alta’s whole theory in adding GE as a third-party defendant was that GE was responsible for WattStock’s alleged breach of contract because, as Alta alleged, ‘GE is an affiliate or representative of WattStock and, therefore, a party to the Master Agreement.’”</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“Alta also contended (when it previously tried to enforce the Master Agreement) that GE and WattStock were ‘partners’—conceding that the consequential-damages waiver applied to GE in that capacity as well.” (Br. p. 33)</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our prior allegations addressed vicarious liability theories, not third-party beneficiary status. We alleged GE was functionally a party to establish liability, but that doesn’t mean GE can cherry-pick beneficial provisions while avoiding obligations—especially for pre-Agreement fraud.</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In re Weekly Homes, L.P.</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judicial estoppel</w:t>
      </w:r>
      <w:r>
        <w:rPr>
          <w:rFonts w:ascii="JetBrains Mono" w:hAnsi="JetBrains Mono"/>
          <w:b w:val="0"/>
          <w:i w:val="0"/>
          <w:color w:val="9A9588"/>
          <w:sz w:val="18"/>
        </w:rPr>
        <w:t xml:space="preserve">  ·  </w:t>
      </w:r>
      <w:r>
        <w:rPr>
          <w:rFonts w:ascii="JetBrains Mono" w:hAnsi="JetBrains Mono"/>
          <w:b w:val="0"/>
          <w:i w:val="0"/>
          <w:color w:val="1A1814"/>
          <w:sz w:val="18"/>
        </w:rPr>
        <w:t>alternative pleading</w:t>
      </w:r>
      <w:r>
        <w:rPr>
          <w:rFonts w:ascii="JetBrains Mono" w:hAnsi="JetBrains Mono"/>
          <w:b w:val="0"/>
          <w:i w:val="0"/>
          <w:color w:val="9A9588"/>
          <w:sz w:val="18"/>
        </w:rPr>
        <w:t xml:space="preserve">  ·  </w:t>
      </w:r>
      <w:r>
        <w:rPr>
          <w:rFonts w:ascii="JetBrains Mono" w:hAnsi="JetBrains Mono"/>
          <w:b w:val="0"/>
          <w:i w:val="0"/>
          <w:color w:val="1A1814"/>
          <w:sz w:val="18"/>
        </w:rPr>
        <w:t>litigation positions</w:t>
      </w:r>
      <w:r>
        <w:rPr>
          <w:rFonts w:ascii="JetBrains Mono" w:hAnsi="JetBrains Mono"/>
          <w:b w:val="0"/>
          <w:i w:val="0"/>
          <w:color w:val="9A9588"/>
          <w:sz w:val="18"/>
        </w:rPr>
        <w:t xml:space="preserve">  ·  </w:t>
      </w:r>
      <w:r>
        <w:rPr>
          <w:rFonts w:ascii="JetBrains Mono" w:hAnsi="JetBrains Mono"/>
          <w:b w:val="0"/>
          <w:i w:val="0"/>
          <w:color w:val="1A1814"/>
          <w:sz w:val="18"/>
        </w:rPr>
        <w:t>party versus beneficiary</w:t>
      </w:r>
      <w:r>
        <w:rPr>
          <w:rFonts w:ascii="JetBrains Mono" w:hAnsi="JetBrains Mono"/>
          <w:b w:val="0"/>
          <w:i w:val="0"/>
          <w:color w:val="9A9588"/>
          <w:sz w:val="18"/>
        </w:rPr>
        <w:t xml:space="preserve">  ·  </w:t>
      </w:r>
      <w:r>
        <w:rPr>
          <w:rFonts w:ascii="JetBrains Mono" w:hAnsi="JetBrains Mono"/>
          <w:b w:val="0"/>
          <w:i w:val="0"/>
          <w:color w:val="1A1814"/>
          <w:sz w:val="18"/>
        </w:rPr>
        <w:t>partner designation</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Alta can’t have it both ways—previously insisting GE was WattStock’s ‘partner’ or ‘party to the Master Agreement’ while now trying to evade the consequential-damages waiver.</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Even accepting our prior characterization, the timing matters—GE wasn’t any of these things when it committed the fraud that induced the Agreement.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8A6F33"/>
              <w:bottom w:val="nil"/>
              <w:right w:val="nil"/>
            </w:tcBorders>
          </w:tcPr>
          <w:p>
            <w:pPr>
              <w:spacing w:after="40"/>
              <w:ind w:left="259"/>
            </w:pPr>
            <w:r>
              <w:rPr>
                <w:rFonts w:ascii="JetBrains Mono" w:hAnsi="JetBrains Mono"/>
                <w:b/>
                <w:color w:val="8A6F33"/>
                <w:sz w:val="16"/>
              </w:rPr>
              <w:t xml:space="preserve">• </w:t>
            </w:r>
            <w:r>
              <w:rPr>
                <w:rFonts w:ascii="JetBrains Mono" w:hAnsi="JetBrains Mono"/>
                <w:b w:val="0"/>
                <w:i w:val="0"/>
                <w:color w:val="6B6862"/>
                <w:sz w:val="16"/>
                <w:spacing w:val="36"/>
              </w:rPr>
              <w:t>CONSIDER</w:t>
            </w:r>
          </w:p>
          <w:p>
            <w:pPr>
              <w:spacing w:after="40"/>
              <w:ind w:left="259"/>
            </w:pPr>
            <w:r>
              <w:rPr>
                <w:rFonts w:ascii="EB Garamond" w:hAnsi="EB Garamond"/>
                <w:b w:val="0"/>
                <w:i w:val="0"/>
                <w:color w:val="1A1814"/>
                <w:sz w:val="22"/>
              </w:rPr>
              <w:t>The brief doesn’t address potential judicial estoppel arguments that could arise from this shift in positions.</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04  ·  </w:t>
      </w:r>
      <w:r>
        <w:rPr>
          <w:rFonts w:ascii="JetBrains Mono" w:hAnsi="JetBrains Mono"/>
          <w:b w:val="0"/>
          <w:i w:val="0"/>
          <w:color w:val="6B6862"/>
          <w:sz w:val="16"/>
          <w:spacing w:val="30"/>
        </w:rPr>
        <w:t>ENGELHARDT</w:t>
      </w:r>
    </w:p>
    <w:p>
      <w:pPr>
        <w:keepNext w:val="0"/>
        <w:spacing w:before="80" w:after="200"/>
      </w:pPr>
      <w:r>
        <w:rPr>
          <w:rFonts w:ascii="Cormorant Garamond" w:hAnsi="Cormorant Garamond"/>
          <w:b w:val="0"/>
          <w:i w:val="0"/>
          <w:color w:val="1A1814"/>
          <w:sz w:val="32"/>
        </w:rPr>
        <w:t>The waiver covers ‘subcontractors’ without any temporal qualifier. If I read the provision according to its plain text, what in the language itself—not background principles—tells me that it excludes conduct predating GE’s formal subcontractor relationship with WattStock?</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Engelhardt probes precise statutory and contractual language to test whether an argument has a textual anchor, rather than resting on background principles. The absence of any temporal qualifier in Section 9.1(B) is the hard textual fact Alta’s argument must overcome, and Engelhardt is likely to force counsel to identify the specific words that support the temporal limitation.</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“Neither of the cases (nor the dictionary definitions) Alta cites supports that proposition.” (Br. p. 37)</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Master Agreement waives consequential damages ‘connected in any way’ to the agreement with no temporal limitation.”</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the text limits the waiver to ‘subcontractors’—and by definition, one cannot be a subcontractor before the contract exists. The word itself carries temporal meaning, as Bayou Steel recognized when defining subcontractors as those ‘awarded a portion of an existing contract.’</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Bayou Steel Corp. v. Nat'l Union Fire Ins. Co. of Pittsburgh</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no temporal limitation</w:t>
      </w:r>
      <w:r>
        <w:rPr>
          <w:rFonts w:ascii="JetBrains Mono" w:hAnsi="JetBrains Mono"/>
          <w:b w:val="0"/>
          <w:i w:val="0"/>
          <w:color w:val="9A9588"/>
          <w:sz w:val="18"/>
        </w:rPr>
        <w:t xml:space="preserve">  ·  </w:t>
      </w:r>
      <w:r>
        <w:rPr>
          <w:rFonts w:ascii="JetBrains Mono" w:hAnsi="JetBrains Mono"/>
          <w:b w:val="0"/>
          <w:i w:val="0"/>
          <w:color w:val="1A1814"/>
          <w:sz w:val="18"/>
        </w:rPr>
        <w:t>plain text</w:t>
      </w:r>
      <w:r>
        <w:rPr>
          <w:rFonts w:ascii="JetBrains Mono" w:hAnsi="JetBrains Mono"/>
          <w:b w:val="0"/>
          <w:i w:val="0"/>
          <w:color w:val="9A9588"/>
          <w:sz w:val="18"/>
        </w:rPr>
        <w:t xml:space="preserve">  ·  </w:t>
      </w:r>
      <w:r>
        <w:rPr>
          <w:rFonts w:ascii="JetBrains Mono" w:hAnsi="JetBrains Mono"/>
          <w:b w:val="0"/>
          <w:i w:val="0"/>
          <w:color w:val="1A1814"/>
          <w:sz w:val="18"/>
        </w:rPr>
        <w:t>connected in any way</w:t>
      </w:r>
      <w:r>
        <w:rPr>
          <w:rFonts w:ascii="JetBrains Mono" w:hAnsi="JetBrains Mono"/>
          <w:b w:val="0"/>
          <w:i w:val="0"/>
          <w:color w:val="9A9588"/>
          <w:sz w:val="18"/>
        </w:rPr>
        <w:t xml:space="preserve">  ·  </w:t>
      </w:r>
      <w:r>
        <w:rPr>
          <w:rFonts w:ascii="JetBrains Mono" w:hAnsi="JetBrains Mono"/>
          <w:b w:val="0"/>
          <w:i w:val="0"/>
          <w:color w:val="1A1814"/>
          <w:sz w:val="18"/>
        </w:rPr>
        <w:t>arising out of</w:t>
      </w:r>
      <w:r>
        <w:rPr>
          <w:rFonts w:ascii="JetBrains Mono" w:hAnsi="JetBrains Mono"/>
          <w:b w:val="0"/>
          <w:i w:val="0"/>
          <w:color w:val="9A9588"/>
          <w:sz w:val="18"/>
        </w:rPr>
        <w:t xml:space="preserve">  ·  </w:t>
      </w:r>
      <w:r>
        <w:rPr>
          <w:rFonts w:ascii="JetBrains Mono" w:hAnsi="JetBrains Mono"/>
          <w:b w:val="0"/>
          <w:i w:val="0"/>
          <w:color w:val="1A1814"/>
          <w:sz w:val="18"/>
        </w:rPr>
        <w:t>textual anchor</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there’s no temporal limitation in the text and that the Master Agreement waives consequential damages ‘connected in any way’ to the agreement regardless of timing.</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the Court views the text as temporally unlimited, we would emphasize that this transforms a damages waiver into an unprecedented retroactive release.</w:t>
      </w:r>
    </w:p>
    <w:p>
      <w:r>
        <w:br w:type="page"/>
      </w:r>
    </w:p>
    <w:p>
      <w:pPr>
        <w:keepNext w:val="0"/>
        <w:spacing w:before="0" w:after="40"/>
      </w:pPr>
      <w:r>
        <w:rPr>
          <w:rFonts w:ascii="JetBrains Mono" w:hAnsi="JetBrains Mono"/>
          <w:b w:val="0"/>
          <w:i w:val="0"/>
          <w:color w:val="B8913D"/>
          <w:sz w:val="16"/>
        </w:rPr>
        <w:t xml:space="preserve">Q 05  ·  </w:t>
      </w:r>
      <w:r>
        <w:rPr>
          <w:rFonts w:ascii="JetBrains Mono" w:hAnsi="JetBrains Mono"/>
          <w:b w:val="0"/>
          <w:i w:val="0"/>
          <w:color w:val="6B6862"/>
          <w:sz w:val="16"/>
          <w:spacing w:val="30"/>
        </w:rPr>
        <w:t>ENGELHARDT</w:t>
      </w:r>
    </w:p>
    <w:p>
      <w:pPr>
        <w:keepNext w:val="0"/>
        <w:spacing w:before="80" w:after="200"/>
      </w:pPr>
      <w:r>
        <w:rPr>
          <w:rFonts w:ascii="Cormorant Garamond" w:hAnsi="Cormorant Garamond"/>
          <w:b w:val="0"/>
          <w:i w:val="0"/>
          <w:color w:val="1A1814"/>
          <w:sz w:val="32"/>
        </w:rPr>
        <w:t>Your Finley analogy posits that context limits ‘subcontractors’ to conduct in that role—just as context limited ‘predecessor’ to corporate predecessors, not predecessors-in-interest. But the Texas Supreme Court in Finley was resolving an ambiguity in the term ‘predecessor.’ Where is the ambiguity in the word ‘subcontractors’ that permits the same kind of contextual narrowing?</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Engelhardt tends to probe definitional boundaries carefully, and the Finley analogy in Alta’s brief depends on treating ‘subcontractors’ as ambiguous in the same way ‘predecessor’ was—a premise GE’s brief directly disputes. Engelhardt is likely to ask whether the threshold condition for contextual narrowing (ambiguity) is actually satisfied here.</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“Finley Resources Inc. v. Headington Royalty, Inc., 672 S.W.3d 332 (Tex. 2023), is misplaced. Finley concerned the ambiguity of the term ‘predecessor’ in a deed’s release clause.” (Br. p. 36)</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“In contrast, there’s no ambiguity here—as Alta itself recognized in moving for summary judgment under the consequential-damages waiver.”</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The brief does not appear to directly address this question.</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Finley Resources, Inc. v. Headington Royalty, Inc.</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ambiguity requirement</w:t>
      </w:r>
      <w:r>
        <w:rPr>
          <w:rFonts w:ascii="JetBrains Mono" w:hAnsi="JetBrains Mono"/>
          <w:b w:val="0"/>
          <w:i w:val="0"/>
          <w:color w:val="9A9588"/>
          <w:sz w:val="18"/>
        </w:rPr>
        <w:t xml:space="preserve">  ·  </w:t>
      </w:r>
      <w:r>
        <w:rPr>
          <w:rFonts w:ascii="JetBrains Mono" w:hAnsi="JetBrains Mono"/>
          <w:b w:val="0"/>
          <w:i w:val="0"/>
          <w:color w:val="1A1814"/>
          <w:sz w:val="18"/>
        </w:rPr>
        <w:t>certain and definite meaning</w:t>
      </w:r>
      <w:r>
        <w:rPr>
          <w:rFonts w:ascii="JetBrains Mono" w:hAnsi="JetBrains Mono"/>
          <w:b w:val="0"/>
          <w:i w:val="0"/>
          <w:color w:val="9A9588"/>
          <w:sz w:val="18"/>
        </w:rPr>
        <w:t xml:space="preserve">  ·  </w:t>
      </w:r>
      <w:r>
        <w:rPr>
          <w:rFonts w:ascii="JetBrains Mono" w:hAnsi="JetBrains Mono"/>
          <w:b w:val="0"/>
          <w:i w:val="0"/>
          <w:color w:val="1A1814"/>
          <w:sz w:val="18"/>
        </w:rPr>
        <w:t>contextual interpretation</w:t>
      </w:r>
      <w:r>
        <w:rPr>
          <w:rFonts w:ascii="JetBrains Mono" w:hAnsi="JetBrains Mono"/>
          <w:b w:val="0"/>
          <w:i w:val="0"/>
          <w:color w:val="9A9588"/>
          <w:sz w:val="18"/>
        </w:rPr>
        <w:t xml:space="preserve">  ·  </w:t>
      </w:r>
      <w:r>
        <w:rPr>
          <w:rFonts w:ascii="JetBrains Mono" w:hAnsi="JetBrains Mono"/>
          <w:b w:val="0"/>
          <w:i w:val="0"/>
          <w:color w:val="1A1814"/>
          <w:sz w:val="18"/>
        </w:rPr>
        <w:t>grammatical use</w:t>
      </w:r>
      <w:r>
        <w:rPr>
          <w:rFonts w:ascii="JetBrains Mono" w:hAnsi="JetBrains Mono"/>
          <w:b w:val="0"/>
          <w:i w:val="0"/>
          <w:color w:val="9A9588"/>
          <w:sz w:val="18"/>
        </w:rPr>
        <w:t xml:space="preserve">  ·  </w:t>
      </w:r>
      <w:r>
        <w:rPr>
          <w:rFonts w:ascii="JetBrains Mono" w:hAnsi="JetBrains Mono"/>
          <w:b w:val="0"/>
          <w:i w:val="0"/>
          <w:color w:val="1A1814"/>
          <w:sz w:val="18"/>
        </w:rPr>
        <w:t>class designation</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there’s no ambiguity in ‘subcontractors’ and that Alta itself moved for summary judgment under this waiver, confirming its unambiguous meaning.</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‘subcontractors’ is ambiguous in the relevant respect, because GE’s brief argues—and Alta’s own concession that GE was WattStock’s subcontractor suggests—that the term has a certain and definite meaning as applied to GE, which is precisely the condition under which Finley’s contextual narrowing does not apply.</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8A6F33"/>
              <w:bottom w:val="nil"/>
              <w:right w:val="nil"/>
            </w:tcBorders>
          </w:tcPr>
          <w:p>
            <w:pPr>
              <w:spacing w:after="40"/>
              <w:ind w:left="259"/>
            </w:pPr>
            <w:r>
              <w:rPr>
                <w:rFonts w:ascii="JetBrains Mono" w:hAnsi="JetBrains Mono"/>
                <w:b/>
                <w:color w:val="8A6F33"/>
                <w:sz w:val="16"/>
              </w:rPr>
              <w:t xml:space="preserve">• </w:t>
            </w:r>
            <w:r>
              <w:rPr>
                <w:rFonts w:ascii="JetBrains Mono" w:hAnsi="JetBrains Mono"/>
                <w:b w:val="0"/>
                <w:i w:val="0"/>
                <w:color w:val="6B6862"/>
                <w:sz w:val="16"/>
                <w:spacing w:val="36"/>
              </w:rPr>
              <w:t>CONSIDER</w:t>
            </w:r>
          </w:p>
          <w:p>
            <w:pPr>
              <w:spacing w:after="40"/>
              <w:ind w:left="259"/>
            </w:pPr>
            <w:r>
              <w:rPr>
                <w:rFonts w:ascii="EB Garamond" w:hAnsi="EB Garamond"/>
                <w:b w:val="0"/>
                <w:i w:val="0"/>
                <w:color w:val="1A1814"/>
                <w:sz w:val="22"/>
              </w:rPr>
              <w:t>The brief should address whether ‘subcontractors’ is ambiguous enough to trigger Finley’s contextual analysis, given that ambiguity is the predicate for that approach.</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06  ·  </w:t>
      </w:r>
      <w:r>
        <w:rPr>
          <w:rFonts w:ascii="JetBrains Mono" w:hAnsi="JetBrains Mono"/>
          <w:b w:val="0"/>
          <w:i w:val="0"/>
          <w:color w:val="6B6862"/>
          <w:sz w:val="16"/>
          <w:spacing w:val="30"/>
        </w:rPr>
        <w:t>ENGELHARDT</w:t>
      </w:r>
    </w:p>
    <w:p>
      <w:pPr>
        <w:keepNext w:val="0"/>
        <w:spacing w:before="80" w:after="200"/>
      </w:pPr>
      <w:r>
        <w:rPr>
          <w:rFonts w:ascii="Cormorant Garamond" w:hAnsi="Cormorant Garamond"/>
          <w:b w:val="0"/>
          <w:i w:val="0"/>
          <w:color w:val="1A1814"/>
          <w:sz w:val="32"/>
        </w:rPr>
        <w:t>On the Bombardier issue: Bombardier enforced a punitive-damages waiver, and the court specifically distinguished cases involving actual-damages limitations by noting that ‘nowhere do the provisions at issue limit actual damages.’ Here, the consequential-damages waiver effectively eliminates Alta’s ability to recover on its fraud claims entirely. Doesn’t that distinction in Bombardier’s own reasoning cut against GE?</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Engelhardt engages selectively and diagnostically, and this question targets the internal logic of Bombardier as Alta’s brief deploys it—specifically whether the Texas Supreme Court’s own carve-out for actual damages in Bombardier limits that decision’s reach. It forces counsel to confront the strongest version of the counterargument rather than accepting a broad reading of Bombardier.</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court distinguished other cases invalidating fraudulently induced ‘as is’ clauses because those cases were about recovering actual damages, and ‘nowhere do the provisions at issue [in Bombardier], read as a whole, limit actual damages.’” (App. Br. p. 37)</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“Furthermore, enforcing the damages waiver effectively precludes Alta’s ability to recover its actual damages, while Bombardier specifically distinguished other cases by noting that ‘nowhere do the provisions at issue, read as a whole, limit actual damages.’”</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Bombardier itself distinguished between punitive and actual damages waivers. Here, the consequential-damages waiver operates as a complete bar to recovery for fraud claims that inherently seek consequential damages, leaving Alta with no meaningful remedy for GE’s intentional misconduct.</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Bombardier Aerospace Corp. v. SPEP Aircraft Holdings, LLC</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actual versus consequential damages</w:t>
      </w:r>
      <w:r>
        <w:rPr>
          <w:rFonts w:ascii="JetBrains Mono" w:hAnsi="JetBrains Mono"/>
          <w:b w:val="0"/>
          <w:i w:val="0"/>
          <w:color w:val="9A9588"/>
          <w:sz w:val="18"/>
        </w:rPr>
        <w:t xml:space="preserve">  ·  </w:t>
      </w:r>
      <w:r>
        <w:rPr>
          <w:rFonts w:ascii="JetBrains Mono" w:hAnsi="JetBrains Mono"/>
          <w:b w:val="0"/>
          <w:i w:val="0"/>
          <w:color w:val="1A1814"/>
          <w:sz w:val="18"/>
        </w:rPr>
        <w:t>complete bar to recovery</w:t>
      </w:r>
      <w:r>
        <w:rPr>
          <w:rFonts w:ascii="JetBrains Mono" w:hAnsi="JetBrains Mono"/>
          <w:b w:val="0"/>
          <w:i w:val="0"/>
          <w:color w:val="9A9588"/>
          <w:sz w:val="18"/>
        </w:rPr>
        <w:t xml:space="preserve">  ·  </w:t>
      </w:r>
      <w:r>
        <w:rPr>
          <w:rFonts w:ascii="JetBrains Mono" w:hAnsi="JetBrains Mono"/>
          <w:b w:val="0"/>
          <w:i w:val="0"/>
          <w:color w:val="1A1814"/>
          <w:sz w:val="18"/>
        </w:rPr>
        <w:t>Bombardier's limiting principle</w:t>
      </w:r>
      <w:r>
        <w:rPr>
          <w:rFonts w:ascii="JetBrains Mono" w:hAnsi="JetBrains Mono"/>
          <w:b w:val="0"/>
          <w:i w:val="0"/>
          <w:color w:val="9A9588"/>
          <w:sz w:val="18"/>
        </w:rPr>
        <w:t xml:space="preserve">  ·  </w:t>
      </w:r>
      <w:r>
        <w:rPr>
          <w:rFonts w:ascii="JetBrains Mono" w:hAnsi="JetBrains Mono"/>
          <w:b w:val="0"/>
          <w:i w:val="0"/>
          <w:color w:val="1A1814"/>
          <w:sz w:val="18"/>
        </w:rPr>
        <w:t>fraud vitiation</w:t>
      </w:r>
      <w:r>
        <w:rPr>
          <w:rFonts w:ascii="JetBrains Mono" w:hAnsi="JetBrains Mono"/>
          <w:b w:val="0"/>
          <w:i w:val="0"/>
          <w:color w:val="9A9588"/>
          <w:sz w:val="18"/>
        </w:rPr>
        <w:t xml:space="preserve">  ·  </w:t>
      </w:r>
      <w:r>
        <w:rPr>
          <w:rFonts w:ascii="JetBrains Mono" w:hAnsi="JetBrains Mono"/>
          <w:b w:val="0"/>
          <w:i w:val="0"/>
          <w:color w:val="1A1814"/>
          <w:sz w:val="18"/>
        </w:rPr>
        <w:t>narrower application</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Bombardier applies equally to consequential-damages waivers and that the agreements in Bombardier also waived consequential damages.</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Even if Bombardier extends beyond punitive damages, it involved parties to the contract—not third-party beneficiaries seeking to escape liability for pre-contract fraud.</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the waiver here ‘effectively eliminates actual damages,’ because GE’s brief argues that the waiver covers only consequential damages and that Section 9.1(A)‘s $100,000 cap—not Section 9.1(B)—is the operative limit on direct damages, meaning actual damages remain technically recoverable.</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07  ·  </w:t>
      </w:r>
      <w:r>
        <w:rPr>
          <w:rFonts w:ascii="JetBrains Mono" w:hAnsi="JetBrains Mono"/>
          <w:b w:val="0"/>
          <w:i w:val="0"/>
          <w:color w:val="6B6862"/>
          <w:sz w:val="16"/>
          <w:spacing w:val="30"/>
        </w:rPr>
        <w:t>ENGELHARDT</w:t>
      </w:r>
    </w:p>
    <w:p>
      <w:pPr>
        <w:keepNext w:val="0"/>
        <w:spacing w:before="80" w:after="200"/>
      </w:pPr>
      <w:r>
        <w:rPr>
          <w:rFonts w:ascii="Cormorant Garamond" w:hAnsi="Cormorant Garamond"/>
          <w:b w:val="0"/>
          <w:i w:val="0"/>
          <w:color w:val="1A1814"/>
          <w:sz w:val="32"/>
        </w:rPr>
        <w:t>Section 9.1(B) lists specific causes of action—negligence, strict liability, breach of contract, breach of warranty—using the word ‘including,’ while the damages list uses ‘shall include but is not limited to.’ You argue this differential phrasing signals that the causes-of-action list is exhaustive. But if that is right, what work is the word ‘including’ itself doing in introducing an exhaustive list, given that ‘including’ is generally read as nonexclusive?</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Engelhardt probes precise definitional and linguistic boundaries, and the differential-phrasing canon argument in Alta’s brief rests on a premise—that ‘including’ can introduce an exhaustive list—that runs against the standard interpretive default and that GE’s brief directly attacks. This is the kind of definitional pressure point Engelhardt tends to isolate.</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“Section 9.1(B) employs the phrase ‘shall include but is not limited to’ to tee up the (unlimited) categories of consequential damages that the provision waives. Then, when Section 9.1(B) enumerates the causes of action to which the waiver applies, it uses the more limited phrase ‘including.’”</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“It is hornbook law that the use of the word including indicates that the specified list . . . is illustrative, not exclusive.” (Br. p. 45)</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the parties‘ choice to use different phrases—’including‘ versus ’shall include but not limited to‘—must be given meaning. When read alongside the specific enumeration of only non-intentional torts, ’including‘ signals a more limited scope consistent with Texas law’s prohibition on waiving intentional misconduct.</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Great Lakes Ins., S.E. v. Gray Grp. Invs., L.L.C.</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including versus shall include but not limited to</w:t>
      </w:r>
      <w:r>
        <w:rPr>
          <w:rFonts w:ascii="JetBrains Mono" w:hAnsi="JetBrains Mono"/>
          <w:b w:val="0"/>
          <w:i w:val="0"/>
          <w:color w:val="9A9588"/>
          <w:sz w:val="18"/>
        </w:rPr>
        <w:t xml:space="preserve">  ·  </w:t>
      </w:r>
      <w:r>
        <w:rPr>
          <w:rFonts w:ascii="JetBrains Mono" w:hAnsi="JetBrains Mono"/>
          <w:b w:val="0"/>
          <w:i w:val="0"/>
          <w:color w:val="1A1814"/>
          <w:sz w:val="18"/>
        </w:rPr>
        <w:t>differential phrasing</w:t>
      </w:r>
      <w:r>
        <w:rPr>
          <w:rFonts w:ascii="JetBrains Mono" w:hAnsi="JetBrains Mono"/>
          <w:b w:val="0"/>
          <w:i w:val="0"/>
          <w:color w:val="9A9588"/>
          <w:sz w:val="18"/>
        </w:rPr>
        <w:t xml:space="preserve">  ·  </w:t>
      </w:r>
      <w:r>
        <w:rPr>
          <w:rFonts w:ascii="JetBrains Mono" w:hAnsi="JetBrains Mono"/>
          <w:b w:val="0"/>
          <w:i w:val="0"/>
          <w:color w:val="1A1814"/>
          <w:sz w:val="18"/>
        </w:rPr>
        <w:t>expressio unius</w:t>
      </w:r>
      <w:r>
        <w:rPr>
          <w:rFonts w:ascii="JetBrains Mono" w:hAnsi="JetBrains Mono"/>
          <w:b w:val="0"/>
          <w:i w:val="0"/>
          <w:color w:val="9A9588"/>
          <w:sz w:val="18"/>
        </w:rPr>
        <w:t xml:space="preserve">  ·  </w:t>
      </w:r>
      <w:r>
        <w:rPr>
          <w:rFonts w:ascii="JetBrains Mono" w:hAnsi="JetBrains Mono"/>
          <w:b w:val="0"/>
          <w:i w:val="0"/>
          <w:color w:val="1A1814"/>
          <w:sz w:val="18"/>
        </w:rPr>
        <w:t>illustrative list</w:t>
      </w:r>
      <w:r>
        <w:rPr>
          <w:rFonts w:ascii="JetBrains Mono" w:hAnsi="JetBrains Mono"/>
          <w:b w:val="0"/>
          <w:i w:val="0"/>
          <w:color w:val="9A9588"/>
          <w:sz w:val="18"/>
        </w:rPr>
        <w:t xml:space="preserve">  ·  </w:t>
      </w:r>
      <w:r>
        <w:rPr>
          <w:rFonts w:ascii="JetBrains Mono" w:hAnsi="JetBrains Mono"/>
          <w:b w:val="0"/>
          <w:i w:val="0"/>
          <w:color w:val="1A1814"/>
          <w:sz w:val="18"/>
        </w:rPr>
        <w:t>interpretive canon</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‘including’ is hornbook law for introducing illustrative, not exclusive lists, and that the word has an expansive meaning.</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‘including’ is purely illustrative, the Court should still consider why the parties listed only unintentional torts when Texas law treats intentional torts so differently.</w:t>
      </w:r>
    </w:p>
    <w:p>
      <w:r>
        <w:br w:type="page"/>
      </w:r>
    </w:p>
    <w:p>
      <w:pPr>
        <w:keepNext w:val="0"/>
        <w:spacing w:before="0" w:after="40"/>
      </w:pPr>
      <w:r>
        <w:rPr>
          <w:rFonts w:ascii="JetBrains Mono" w:hAnsi="JetBrains Mono"/>
          <w:b w:val="0"/>
          <w:i w:val="0"/>
          <w:color w:val="B8913D"/>
          <w:sz w:val="16"/>
        </w:rPr>
        <w:t xml:space="preserve">Q 08  ·  </w:t>
      </w:r>
      <w:r>
        <w:rPr>
          <w:rFonts w:ascii="JetBrains Mono" w:hAnsi="JetBrains Mono"/>
          <w:b w:val="0"/>
          <w:i w:val="0"/>
          <w:color w:val="6B6862"/>
          <w:sz w:val="16"/>
          <w:spacing w:val="30"/>
        </w:rPr>
        <w:t>ENGELHARDT</w:t>
      </w:r>
      <w:r>
        <w:rPr>
          <w:rFonts w:ascii="JetBrains Mono" w:hAnsi="JetBrains Mono"/>
          <w:b w:val="0"/>
          <w:i w:val="0"/>
          <w:color w:val="C8392B"/>
          <w:sz w:val="16"/>
          <w:spacing w:val="30"/>
        </w:rPr>
        <w:t xml:space="preserve">   ARGUABLY DISPOSITIVE</w:t>
      </w:r>
    </w:p>
    <w:p>
      <w:pPr>
        <w:keepNext w:val="0"/>
        <w:spacing w:before="80" w:after="200"/>
      </w:pPr>
      <w:r>
        <w:rPr>
          <w:rFonts w:ascii="Cormorant Garamond" w:hAnsi="Cormorant Garamond"/>
          <w:b w:val="0"/>
          <w:i w:val="0"/>
          <w:color w:val="1A1814"/>
          <w:sz w:val="32"/>
        </w:rPr>
        <w:t>Even if GE’s pre-Agreement conduct is outside the waiver, you still need to show that a court can sever or refuse to enforce the waiver as to GE without Alta having sought to rescind the Master Agreement in its entirety. Alta settled with WattStock and kept the benefits of its contractual position. Under Texas law, can a party selectively void a contractual provision for fraud without electing to rescind the entire agreement?</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Engelhardt tends to press counsel on discrepancies between what a prior tribunal required and what counsel is now claiming, and the Texas rule that a party cannot have its contract and defeat it too—highlighted in both briefs—raises the question whether Alta’s failure to seek full rescission forecloses the fraud-vitiation argument. This is a gap between Alta’s litigation posture and its legal theory that Engelhardt’s pattern suggests will draw focused scrutiny.</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“Alta does not seek to enforce any part of the Master Agreement against GE, while the Bombardier plaintiffs sought to enforce the agreement without being bound by the limitation on punitive damages.”</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 litigant who sues based on a contract subjects him or herself to the contract’s terms.” (App. Br. p. 39)</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The brief does not appear to directly address this question.</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In re FirstMerit Bank, N.A.</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selective enforcement</w:t>
      </w:r>
      <w:r>
        <w:rPr>
          <w:rFonts w:ascii="JetBrains Mono" w:hAnsi="JetBrains Mono"/>
          <w:b w:val="0"/>
          <w:i w:val="0"/>
          <w:color w:val="9A9588"/>
          <w:sz w:val="18"/>
        </w:rPr>
        <w:t xml:space="preserve">  ·  </w:t>
      </w:r>
      <w:r>
        <w:rPr>
          <w:rFonts w:ascii="JetBrains Mono" w:hAnsi="JetBrains Mono"/>
          <w:b w:val="0"/>
          <w:i w:val="0"/>
          <w:color w:val="1A1814"/>
          <w:sz w:val="18"/>
        </w:rPr>
        <w:t>rescission election</w:t>
      </w:r>
      <w:r>
        <w:rPr>
          <w:rFonts w:ascii="JetBrains Mono" w:hAnsi="JetBrains Mono"/>
          <w:b w:val="0"/>
          <w:i w:val="0"/>
          <w:color w:val="9A9588"/>
          <w:sz w:val="18"/>
        </w:rPr>
        <w:t xml:space="preserve">  ·  </w:t>
      </w:r>
      <w:r>
        <w:rPr>
          <w:rFonts w:ascii="JetBrains Mono" w:hAnsi="JetBrains Mono"/>
          <w:b w:val="0"/>
          <w:i w:val="0"/>
          <w:color w:val="1A1814"/>
          <w:sz w:val="18"/>
        </w:rPr>
        <w:t>fraud vitiation</w:t>
      </w:r>
      <w:r>
        <w:rPr>
          <w:rFonts w:ascii="JetBrains Mono" w:hAnsi="JetBrains Mono"/>
          <w:b w:val="0"/>
          <w:i w:val="0"/>
          <w:color w:val="9A9588"/>
          <w:sz w:val="18"/>
        </w:rPr>
        <w:t xml:space="preserve">  ·  </w:t>
      </w:r>
      <w:r>
        <w:rPr>
          <w:rFonts w:ascii="JetBrains Mono" w:hAnsi="JetBrains Mono"/>
          <w:b w:val="0"/>
          <w:i w:val="0"/>
          <w:color w:val="1A1814"/>
          <w:sz w:val="18"/>
        </w:rPr>
        <w:t>contract versus tort</w:t>
      </w:r>
      <w:r>
        <w:rPr>
          <w:rFonts w:ascii="JetBrains Mono" w:hAnsi="JetBrains Mono"/>
          <w:b w:val="0"/>
          <w:i w:val="0"/>
          <w:color w:val="9A9588"/>
          <w:sz w:val="18"/>
        </w:rPr>
        <w:t xml:space="preserve">  ·  </w:t>
      </w:r>
      <w:r>
        <w:rPr>
          <w:rFonts w:ascii="JetBrains Mono" w:hAnsi="JetBrains Mono"/>
          <w:b w:val="0"/>
          <w:i w:val="0"/>
          <w:color w:val="1A1814"/>
          <w:sz w:val="18"/>
        </w:rPr>
        <w:t>third-party claims</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cites In re Weekly Homes and In re FirstMerit Bank for the proposition that a party cannot have its contract and defeat it too.</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Alta is seeking to selectively void only the waiver clause, because Alta’s brief argues it is not seeking to enforce the Master Agreement against GE at all—it is asserting independent tort claims against GE as a non-party, so the ‘cannot have your contract and defeat it too’ principle may not apply in the same way.</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8A6F33"/>
              <w:bottom w:val="nil"/>
              <w:right w:val="nil"/>
            </w:tcBorders>
          </w:tcPr>
          <w:p>
            <w:pPr>
              <w:spacing w:after="40"/>
              <w:ind w:left="259"/>
            </w:pPr>
            <w:r>
              <w:rPr>
                <w:rFonts w:ascii="JetBrains Mono" w:hAnsi="JetBrains Mono"/>
                <w:b/>
                <w:color w:val="8A6F33"/>
                <w:sz w:val="16"/>
              </w:rPr>
              <w:t xml:space="preserve">• </w:t>
            </w:r>
            <w:r>
              <w:rPr>
                <w:rFonts w:ascii="JetBrains Mono" w:hAnsi="JetBrains Mono"/>
                <w:b w:val="0"/>
                <w:i w:val="0"/>
                <w:color w:val="6B6862"/>
                <w:sz w:val="16"/>
                <w:spacing w:val="36"/>
              </w:rPr>
              <w:t>CONSIDER</w:t>
            </w:r>
          </w:p>
          <w:p>
            <w:pPr>
              <w:spacing w:after="40"/>
              <w:ind w:left="259"/>
            </w:pPr>
            <w:r>
              <w:rPr>
                <w:rFonts w:ascii="EB Garamond" w:hAnsi="EB Garamond"/>
                <w:b w:val="0"/>
                <w:i w:val="0"/>
                <w:color w:val="1A1814"/>
                <w:sz w:val="22"/>
              </w:rPr>
              <w:t>The brief should address whether Alta’s settlement with WattStock and retention of contractual benefits affects its ability to claim fraud vitiates specific provisions.</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09  ·  </w:t>
      </w:r>
      <w:r>
        <w:rPr>
          <w:rFonts w:ascii="JetBrains Mono" w:hAnsi="JetBrains Mono"/>
          <w:b w:val="0"/>
          <w:i w:val="0"/>
          <w:color w:val="6B6862"/>
          <w:sz w:val="16"/>
          <w:spacing w:val="30"/>
        </w:rPr>
        <w:t>ENGELHARDT</w:t>
      </w:r>
    </w:p>
    <w:p>
      <w:pPr>
        <w:keepNext w:val="0"/>
        <w:spacing w:before="80" w:after="200"/>
      </w:pPr>
      <w:r>
        <w:rPr>
          <w:rFonts w:ascii="Cormorant Garamond" w:hAnsi="Cormorant Garamond"/>
          <w:b w:val="0"/>
          <w:i w:val="0"/>
          <w:color w:val="1A1814"/>
          <w:sz w:val="32"/>
        </w:rPr>
        <w:t>GE points out that Alta itself, in documents contemporaneous with the Master Agreement, designated GE as a ‘Major Subcontractor’ and told Deutsche Bank that GE was ‘a subcontractor to WattStock.’ How does that contemporaneous evidence of Alta’s own understanding of GE’s role affect the interpretation of the word ‘subcontractors’ in Section 9.1(B)?</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Engelhardt has shown a pattern of pressing counsel on gaps between prior positions and current arguments, and the record contains Alta’s own contemporaneous documents explicitly labeling GE a subcontractor. This diagnostic question tests whether Alta’s capacity-limiting interpretation of ‘subcontractors’ can be squared with how Alta itself used that term at the time.</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“ROA.21087 (Alta designating GE as a ‘Major Subcontractor’ while negotiating with WattStock); ROA.8963–65 (letter emailed by Alta CFO Matthew Laterza to Deutsche Bank identifying GE as ‘a subcontractor to WattStock’)”</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“Even now, Alta ‘agree[s]’ (at 20) that ‘GE became WattStock’s subcontractor.’”</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our designation of GE as a subcontractor confirms our understanding that GE would eventually serve in that role. But recognizing GE’s future subcontractor status doesn’t retroactively immunize its pre-subcontractor fraudulent conduct that induced the Agreement.</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Barrow-Shaver Res. Co. v. Carrizo Oil &amp; Gas, Inc.</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contemporaneous understanding</w:t>
      </w:r>
      <w:r>
        <w:rPr>
          <w:rFonts w:ascii="JetBrains Mono" w:hAnsi="JetBrains Mono"/>
          <w:b w:val="0"/>
          <w:i w:val="0"/>
          <w:color w:val="9A9588"/>
          <w:sz w:val="18"/>
        </w:rPr>
        <w:t xml:space="preserve">  ·  </w:t>
      </w:r>
      <w:r>
        <w:rPr>
          <w:rFonts w:ascii="JetBrains Mono" w:hAnsi="JetBrains Mono"/>
          <w:b w:val="0"/>
          <w:i w:val="0"/>
          <w:color w:val="1A1814"/>
          <w:sz w:val="18"/>
        </w:rPr>
        <w:t>Major Subcontractor designation</w:t>
      </w:r>
      <w:r>
        <w:rPr>
          <w:rFonts w:ascii="JetBrains Mono" w:hAnsi="JetBrains Mono"/>
          <w:b w:val="0"/>
          <w:i w:val="0"/>
          <w:color w:val="9A9588"/>
          <w:sz w:val="18"/>
        </w:rPr>
        <w:t xml:space="preserve">  ·  </w:t>
      </w:r>
      <w:r>
        <w:rPr>
          <w:rFonts w:ascii="JetBrains Mono" w:hAnsi="JetBrains Mono"/>
          <w:b w:val="0"/>
          <w:i w:val="0"/>
          <w:color w:val="1A1814"/>
          <w:sz w:val="18"/>
        </w:rPr>
        <w:t>Deutsche Bank communications</w:t>
      </w:r>
      <w:r>
        <w:rPr>
          <w:rFonts w:ascii="JetBrains Mono" w:hAnsi="JetBrains Mono"/>
          <w:b w:val="0"/>
          <w:i w:val="0"/>
          <w:color w:val="9A9588"/>
          <w:sz w:val="18"/>
        </w:rPr>
        <w:t xml:space="preserve">  ·  </w:t>
      </w:r>
      <w:r>
        <w:rPr>
          <w:rFonts w:ascii="JetBrains Mono" w:hAnsi="JetBrains Mono"/>
          <w:b w:val="0"/>
          <w:i w:val="0"/>
          <w:color w:val="1A1814"/>
          <w:sz w:val="18"/>
        </w:rPr>
        <w:t>party admissions</w:t>
      </w:r>
      <w:r>
        <w:rPr>
          <w:rFonts w:ascii="JetBrains Mono" w:hAnsi="JetBrains Mono"/>
          <w:b w:val="0"/>
          <w:i w:val="0"/>
          <w:color w:val="9A9588"/>
          <w:sz w:val="18"/>
        </w:rPr>
        <w:t xml:space="preserve">  ·  </w:t>
      </w:r>
      <w:r>
        <w:rPr>
          <w:rFonts w:ascii="JetBrains Mono" w:hAnsi="JetBrains Mono"/>
          <w:b w:val="0"/>
          <w:i w:val="0"/>
          <w:color w:val="1A1814"/>
          <w:sz w:val="18"/>
        </w:rPr>
        <w:t>contextual evidence</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emphasizes that Alta repeatedly recognized GE as WattStock’s subcontractor in contemporaneous documents and communications with lenders.</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Even accepting our contemporaneous characterization, the issue remains whether GE can invoke protections for conduct predating that status.</w:t>
      </w:r>
    </w:p>
    <w:p>
      <w:r>
        <w:br w:type="page"/>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JUDGE  ·  CLEMENT</w:t>
      </w:r>
    </w:p>
    <w:p>
      <w:pPr>
        <w:keepNext/>
        <w:spacing w:before="280" w:after="120"/>
      </w:pPr>
      <w:r>
        <w:rPr>
          <w:rFonts w:ascii="Cormorant Garamond" w:hAnsi="Cormorant Garamond"/>
          <w:b w:val="0"/>
          <w:i w:val="0"/>
          <w:color w:val="1A1814"/>
          <w:sz w:val="32"/>
        </w:rPr>
        <w:t>Clement</w:t>
      </w:r>
    </w:p>
    <w:p>
      <w:r>
        <w:br w:type="page"/>
      </w:r>
    </w:p>
    <w:p>
      <w:pPr>
        <w:keepNext w:val="0"/>
        <w:spacing w:before="0" w:after="40"/>
      </w:pPr>
      <w:r>
        <w:rPr>
          <w:rFonts w:ascii="JetBrains Mono" w:hAnsi="JetBrains Mono"/>
          <w:b w:val="0"/>
          <w:i w:val="0"/>
          <w:color w:val="B8913D"/>
          <w:sz w:val="16"/>
        </w:rPr>
        <w:t xml:space="preserve">Q 01  ·  </w:t>
      </w:r>
      <w:r>
        <w:rPr>
          <w:rFonts w:ascii="JetBrains Mono" w:hAnsi="JetBrains Mono"/>
          <w:b w:val="0"/>
          <w:i w:val="0"/>
          <w:color w:val="6B6862"/>
          <w:sz w:val="16"/>
          <w:spacing w:val="30"/>
        </w:rPr>
        <w:t>CLEMENT</w:t>
      </w:r>
    </w:p>
    <w:p>
      <w:pPr>
        <w:keepNext w:val="0"/>
        <w:spacing w:before="80" w:after="200"/>
      </w:pPr>
      <w:r>
        <w:rPr>
          <w:rFonts w:ascii="Cormorant Garamond" w:hAnsi="Cormorant Garamond"/>
          <w:b w:val="0"/>
          <w:i w:val="0"/>
          <w:color w:val="1A1814"/>
          <w:sz w:val="32"/>
        </w:rPr>
        <w:t>Counsel, the waiver covers ‘subcontractors’ — but the text says neither party nor their subcontractors ‘shall be liable.’ At the time GE made the representations you say were fraudulent, GE had no subcontractor relationship with WattStock at all. So isn’t your argument essentially that the word ‘subcontractors’ carries an implicit temporal and capacity limitation that the text doesn’t actually state?</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Clement has a documented pattern of opening on contract-scope questions targeting the precise limits of the text, and of correcting attorneys who read implied limitations into unambiguous language. The Danger Zone materials flag exactly this tension — whether Alta is asking the court to import a capacity-and-timing restriction that nowhere appears in Section 9.1(B)‘s plain text — making this the most probable entry-point question.</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“Definitionally, GE could not have been acting as a subcontractor before the Master Agreement existed.” (App. Br. p. 29)</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question comes down to the scope of that class. Does it include all conduct by anyone who has ever been a subcontractor, or does it cover only conduct taken by subcontractors as subcontractors?” (App. Br. p. 28)</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Your Honor, the temporal limitation isn’t implicit—it’s definitional. The term ‘subcontractor’ means someone ‘awarded a portion of an existing contract,’ which by definition cannot exist before the Master Agreement creating that contract. The waiver protects subcontractors acting as subcontractors, not anyone who later becomes one.</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Bayou Steel Corp. v. Nat'l Union Fire Ins. Co. of Pittsburgh</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definitionally</w:t>
      </w:r>
      <w:r>
        <w:rPr>
          <w:rFonts w:ascii="JetBrains Mono" w:hAnsi="JetBrains Mono"/>
          <w:b w:val="0"/>
          <w:i w:val="0"/>
          <w:color w:val="9A9588"/>
          <w:sz w:val="18"/>
        </w:rPr>
        <w:t xml:space="preserve">  ·  </w:t>
      </w:r>
      <w:r>
        <w:rPr>
          <w:rFonts w:ascii="JetBrains Mono" w:hAnsi="JetBrains Mono"/>
          <w:b w:val="0"/>
          <w:i w:val="0"/>
          <w:color w:val="1A1814"/>
          <w:sz w:val="18"/>
        </w:rPr>
        <w:t>capacity as subcontractor</w:t>
      </w:r>
      <w:r>
        <w:rPr>
          <w:rFonts w:ascii="JetBrains Mono" w:hAnsi="JetBrains Mono"/>
          <w:b w:val="0"/>
          <w:i w:val="0"/>
          <w:color w:val="9A9588"/>
          <w:sz w:val="18"/>
        </w:rPr>
        <w:t xml:space="preserve">  ·  </w:t>
      </w:r>
      <w:r>
        <w:rPr>
          <w:rFonts w:ascii="JetBrains Mono" w:hAnsi="JetBrains Mono"/>
          <w:b w:val="0"/>
          <w:i w:val="0"/>
          <w:color w:val="1A1814"/>
          <w:sz w:val="18"/>
        </w:rPr>
        <w:t>before the Master Agreement existed</w:t>
      </w:r>
      <w:r>
        <w:rPr>
          <w:rFonts w:ascii="JetBrains Mono" w:hAnsi="JetBrains Mono"/>
          <w:b w:val="0"/>
          <w:i w:val="0"/>
          <w:color w:val="9A9588"/>
          <w:sz w:val="18"/>
        </w:rPr>
        <w:t xml:space="preserve">  ·  </w:t>
      </w:r>
      <w:r>
        <w:rPr>
          <w:rFonts w:ascii="JetBrains Mono" w:hAnsi="JetBrains Mono"/>
          <w:b w:val="0"/>
          <w:i w:val="0"/>
          <w:color w:val="1A1814"/>
          <w:sz w:val="18"/>
        </w:rPr>
        <w:t>scope of the class</w:t>
      </w:r>
      <w:r>
        <w:rPr>
          <w:rFonts w:ascii="JetBrains Mono" w:hAnsi="JetBrains Mono"/>
          <w:b w:val="0"/>
          <w:i w:val="0"/>
          <w:color w:val="9A9588"/>
          <w:sz w:val="18"/>
        </w:rPr>
        <w:t xml:space="preserve">  ·  </w:t>
      </w:r>
      <w:r>
        <w:rPr>
          <w:rFonts w:ascii="JetBrains Mono" w:hAnsi="JetBrains Mono"/>
          <w:b w:val="0"/>
          <w:i w:val="0"/>
          <w:color w:val="1A1814"/>
          <w:sz w:val="18"/>
        </w:rPr>
        <w:t>qua subcontractor</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the MOU from 2017 established that GE could serve as a subcontractor, so GE’s relationship predated the Master Agreement.</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pressed on the MOU, emphasize that a mere possibility of future subcontractor status is distinct from actually being a subcontractor when the fraud occurred.</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the text is unambiguous on temporal scope, because Alta’s brief argues that the term ‘subcontractor’ itself — defined as one ‘awarded a portion of an existing contract’ — is definitionally impossible to satisfy before the Master Agreement existed, making the temporal limitation textual rather than implied.</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8A6F33"/>
              <w:bottom w:val="nil"/>
              <w:right w:val="nil"/>
            </w:tcBorders>
          </w:tcPr>
          <w:p>
            <w:pPr>
              <w:spacing w:after="40"/>
              <w:ind w:left="259"/>
            </w:pPr>
            <w:r>
              <w:rPr>
                <w:rFonts w:ascii="JetBrains Mono" w:hAnsi="JetBrains Mono"/>
                <w:b/>
                <w:color w:val="8A6F33"/>
                <w:sz w:val="16"/>
              </w:rPr>
              <w:t xml:space="preserve">• </w:t>
            </w:r>
            <w:r>
              <w:rPr>
                <w:rFonts w:ascii="JetBrains Mono" w:hAnsi="JetBrains Mono"/>
                <w:b w:val="0"/>
                <w:i w:val="0"/>
                <w:color w:val="6B6862"/>
                <w:sz w:val="16"/>
                <w:spacing w:val="36"/>
              </w:rPr>
              <w:t>CONSIDER</w:t>
            </w:r>
          </w:p>
          <w:p>
            <w:pPr>
              <w:spacing w:after="40"/>
              <w:ind w:left="259"/>
            </w:pPr>
            <w:r>
              <w:rPr>
                <w:rFonts w:ascii="EB Garamond" w:hAnsi="EB Garamond"/>
                <w:b w:val="0"/>
                <w:i w:val="0"/>
                <w:color w:val="1A1814"/>
                <w:sz w:val="22"/>
              </w:rPr>
              <w:t>The brief could strengthen this argument by directly addressing whether the MOU created any actual subcontractor relationship versus merely contemplating a future one.</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02  ·  </w:t>
      </w:r>
      <w:r>
        <w:rPr>
          <w:rFonts w:ascii="JetBrains Mono" w:hAnsi="JetBrains Mono"/>
          <w:b w:val="0"/>
          <w:i w:val="0"/>
          <w:color w:val="6B6862"/>
          <w:sz w:val="16"/>
          <w:spacing w:val="30"/>
        </w:rPr>
        <w:t>CLEMENT</w:t>
      </w:r>
    </w:p>
    <w:p>
      <w:pPr>
        <w:keepNext w:val="0"/>
        <w:spacing w:before="80" w:after="200"/>
      </w:pPr>
      <w:r>
        <w:rPr>
          <w:rFonts w:ascii="Cormorant Garamond" w:hAnsi="Cormorant Garamond"/>
          <w:b w:val="0"/>
          <w:i w:val="0"/>
          <w:color w:val="1A1814"/>
          <w:sz w:val="32"/>
        </w:rPr>
        <w:t>Your brief draws a distinction between conduct GE undertook ‘as a subcontractor’ and conduct GE undertook before it held that status. Where in the four corners of Section 9.1(B) do you find that distinction? The waiver covers claims ‘connected in any way’ to the agreement — and by your own theory, GE’s pre-agreement representations are what caused Alta to sign the agreement. Doesn’t that connection satisfy the plain text?</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Clement has shown a pattern of pressing attorneys when the linchpin of their argument relies on an inference — here, the capacity/temporal limitation — rather than express textual support, and of substituting a more precise formulation in real time. GE’s brief argues that the ‘connected in any way’ language is the only textual limit and that Alta’s own theory of causation satisfies it, which is precisely the kind of countervailing text Clement may surface.</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waiver does not protect anyone who becomes a subcontractor; it protects a subcontractor qua subcontractor.” (App. Br. p. 29)</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“Because the Agreement extends the consequential-damages waiver to classes of third parties because of their relationship to the contracting parties, it follows that the waiver extends only insofar as those third parties are acting in their identified capacity.”</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The distinction comes from reading the provision as a whole. The waiver extends to specific classes—‘subcontractors’—defined by their relationship to the parties. This necessarily limits coverage to conduct undertaken in that relational capacity, not just any conduct that’s somehow connected to the agreement.</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Finley Resources v. Headington Royalty</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qua subcontractor</w:t>
      </w:r>
      <w:r>
        <w:rPr>
          <w:rFonts w:ascii="JetBrains Mono" w:hAnsi="JetBrains Mono"/>
          <w:b w:val="0"/>
          <w:i w:val="0"/>
          <w:color w:val="9A9588"/>
          <w:sz w:val="18"/>
        </w:rPr>
        <w:t xml:space="preserve">  ·  </w:t>
      </w:r>
      <w:r>
        <w:rPr>
          <w:rFonts w:ascii="JetBrains Mono" w:hAnsi="JetBrains Mono"/>
          <w:b w:val="0"/>
          <w:i w:val="0"/>
          <w:color w:val="1A1814"/>
          <w:sz w:val="18"/>
        </w:rPr>
        <w:t>acting in their identified capacity</w:t>
      </w:r>
      <w:r>
        <w:rPr>
          <w:rFonts w:ascii="JetBrains Mono" w:hAnsi="JetBrains Mono"/>
          <w:b w:val="0"/>
          <w:i w:val="0"/>
          <w:color w:val="9A9588"/>
          <w:sz w:val="18"/>
        </w:rPr>
        <w:t xml:space="preserve">  ·  </w:t>
      </w:r>
      <w:r>
        <w:rPr>
          <w:rFonts w:ascii="JetBrains Mono" w:hAnsi="JetBrains Mono"/>
          <w:b w:val="0"/>
          <w:i w:val="0"/>
          <w:color w:val="1A1814"/>
          <w:sz w:val="18"/>
        </w:rPr>
        <w:t>two independent requirements</w:t>
      </w:r>
      <w:r>
        <w:rPr>
          <w:rFonts w:ascii="JetBrains Mono" w:hAnsi="JetBrains Mono"/>
          <w:b w:val="0"/>
          <w:i w:val="0"/>
          <w:color w:val="9A9588"/>
          <w:sz w:val="18"/>
        </w:rPr>
        <w:t xml:space="preserve">  ·  </w:t>
      </w:r>
      <w:r>
        <w:rPr>
          <w:rFonts w:ascii="JetBrains Mono" w:hAnsi="JetBrains Mono"/>
          <w:b w:val="0"/>
          <w:i w:val="0"/>
          <w:color w:val="1A1814"/>
          <w:sz w:val="18"/>
        </w:rPr>
        <w:t>classes of third parties</w:t>
      </w:r>
      <w:r>
        <w:rPr>
          <w:rFonts w:ascii="JetBrains Mono" w:hAnsi="JetBrains Mono"/>
          <w:b w:val="0"/>
          <w:i w:val="0"/>
          <w:color w:val="9A9588"/>
          <w:sz w:val="18"/>
        </w:rPr>
        <w:t xml:space="preserve">  ·  </w:t>
      </w:r>
      <w:r>
        <w:rPr>
          <w:rFonts w:ascii="JetBrains Mono" w:hAnsi="JetBrains Mono"/>
          <w:b w:val="0"/>
          <w:i w:val="0"/>
          <w:color w:val="1A1814"/>
          <w:sz w:val="18"/>
        </w:rPr>
        <w:t>relationship to the contracting parties</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contends that Section 9.1(B) imposes only one limitation—that claims be ‘connected’ to the Master Agreement—with no capacity requirement in the text.</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this line becomes difficult, pivot to emphasizing that GE’s reading would retroactively immunize any pre-contract fraud by anyone who later becomes a subcontractor.</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‘connected in any way’ is the only operative limit, because Alta’s brief argues that the classes of covered persons — ‘subcontractors’ — necessarily limit coverage to conduct undertaken in that capacity, so that subject-matter connection and capacity are independent requirements.</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03  ·  </w:t>
      </w:r>
      <w:r>
        <w:rPr>
          <w:rFonts w:ascii="JetBrains Mono" w:hAnsi="JetBrains Mono"/>
          <w:b w:val="0"/>
          <w:i w:val="0"/>
          <w:color w:val="6B6862"/>
          <w:sz w:val="16"/>
          <w:spacing w:val="30"/>
        </w:rPr>
        <w:t>CLEMENT</w:t>
      </w:r>
      <w:r>
        <w:rPr>
          <w:rFonts w:ascii="JetBrains Mono" w:hAnsi="JetBrains Mono"/>
          <w:b w:val="0"/>
          <w:i w:val="0"/>
          <w:color w:val="C8392B"/>
          <w:sz w:val="16"/>
          <w:spacing w:val="30"/>
        </w:rPr>
        <w:t xml:space="preserve">   ARGUABLY DISPOSITIVE</w:t>
      </w:r>
    </w:p>
    <w:p>
      <w:pPr>
        <w:keepNext w:val="0"/>
        <w:spacing w:before="80" w:after="200"/>
      </w:pPr>
      <w:r>
        <w:rPr>
          <w:rFonts w:ascii="Cormorant Garamond" w:hAnsi="Cormorant Garamond"/>
          <w:b w:val="0"/>
          <w:i w:val="0"/>
          <w:color w:val="1A1814"/>
          <w:sz w:val="32"/>
        </w:rPr>
        <w:t>Bombardier held that the Texas Supreme Court has ‘never held that fraud vitiates a limitation-of-liability clause.’ You say Bombardier is limited to its facts — punitive damages, parties who simultaneously sought to enforce the contract. But the Bombardier court’s statement was categorical. Why shouldn’t I read that language as a general rule rather than a fact-specific holding?</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Clement tends to push back when an attorney treats a single case as the cornerstone of a broader legal proposition and presses whether the case can carry that weight. Alta’s entire second argument depends on cabining Bombardier to a narrow set of circumstances, and Clement may press whether that framing overstates what the text of Bombardier actually supports.</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court then likened the punitive-damages waiver to a disclaimer-of-reliance clause, noting that ‘sophisticated parties’ could disclaim reliance between them for ‘a specific matter in dispute.’” (App. Br. p. 36)</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“And the court ensured that the plaintiffs could still recover actual damages.” (App. Br. p. 37)</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That statement came after Bombardier balanced multiple factors specific to that case—sophisticated parties, punitive damages only, and parties seeking to enforce while avoiding one provision. The court explicitly distinguished cases involving actual damages, which is what we have here.</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Bombardier Aerospace Corp. v. SPEP Aircraft Holdings</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balancing competing interests</w:t>
      </w:r>
      <w:r>
        <w:rPr>
          <w:rFonts w:ascii="JetBrains Mono" w:hAnsi="JetBrains Mono"/>
          <w:b w:val="0"/>
          <w:i w:val="0"/>
          <w:color w:val="9A9588"/>
          <w:sz w:val="18"/>
        </w:rPr>
        <w:t xml:space="preserve">  ·  </w:t>
      </w:r>
      <w:r>
        <w:rPr>
          <w:rFonts w:ascii="JetBrains Mono" w:hAnsi="JetBrains Mono"/>
          <w:b w:val="0"/>
          <w:i w:val="0"/>
          <w:color w:val="1A1814"/>
          <w:sz w:val="18"/>
        </w:rPr>
        <w:t>actual damages remained available</w:t>
      </w:r>
      <w:r>
        <w:rPr>
          <w:rFonts w:ascii="JetBrains Mono" w:hAnsi="JetBrains Mono"/>
          <w:b w:val="0"/>
          <w:i w:val="0"/>
          <w:color w:val="9A9588"/>
          <w:sz w:val="18"/>
        </w:rPr>
        <w:t xml:space="preserve">  ·  </w:t>
      </w:r>
      <w:r>
        <w:rPr>
          <w:rFonts w:ascii="JetBrains Mono" w:hAnsi="JetBrains Mono"/>
          <w:b w:val="0"/>
          <w:i w:val="0"/>
          <w:color w:val="1A1814"/>
          <w:sz w:val="18"/>
        </w:rPr>
        <w:t>fact-specific analysis</w:t>
      </w:r>
      <w:r>
        <w:rPr>
          <w:rFonts w:ascii="JetBrains Mono" w:hAnsi="JetBrains Mono"/>
          <w:b w:val="0"/>
          <w:i w:val="0"/>
          <w:color w:val="9A9588"/>
          <w:sz w:val="18"/>
        </w:rPr>
        <w:t xml:space="preserve">  ·  </w:t>
      </w:r>
      <w:r>
        <w:rPr>
          <w:rFonts w:ascii="JetBrains Mono" w:hAnsi="JetBrains Mono"/>
          <w:b w:val="0"/>
          <w:i w:val="0"/>
          <w:color w:val="1A1814"/>
          <w:sz w:val="18"/>
        </w:rPr>
        <w:t>punitive versus actual damages</w:t>
      </w:r>
      <w:r>
        <w:rPr>
          <w:rFonts w:ascii="JetBrains Mono" w:hAnsi="JetBrains Mono"/>
          <w:b w:val="0"/>
          <w:i w:val="0"/>
          <w:color w:val="9A9588"/>
          <w:sz w:val="18"/>
        </w:rPr>
        <w:t xml:space="preserve">  ·  </w:t>
      </w:r>
      <w:r>
        <w:rPr>
          <w:rFonts w:ascii="JetBrains Mono" w:hAnsi="JetBrains Mono"/>
          <w:b w:val="0"/>
          <w:i w:val="0"/>
          <w:color w:val="1A1814"/>
          <w:sz w:val="18"/>
        </w:rPr>
        <w:t>third-party versus contracting party</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Bombardier broadly established that courts must respect and enforce limitation-of-liability clauses that parties freely and voluntarily made.</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pressed on Bombardier’s breadth, emphasize the century of Texas law that fraud vitiates contracts and that Bombardier didn’t overrule this bedrock principle.</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Bombardier’s statement was a general rule, because Alta’s brief argues that Bombardier reached its conclusion only after balancing competing interests and emphasizing that actual damages remained available, meaning the categorical-sounding language was embedded in a fact-specific analysis.</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04  ·  </w:t>
      </w:r>
      <w:r>
        <w:rPr>
          <w:rFonts w:ascii="JetBrains Mono" w:hAnsi="JetBrains Mono"/>
          <w:b w:val="0"/>
          <w:i w:val="0"/>
          <w:color w:val="6B6862"/>
          <w:sz w:val="16"/>
          <w:spacing w:val="30"/>
        </w:rPr>
        <w:t>CLEMENT</w:t>
      </w:r>
    </w:p>
    <w:p>
      <w:pPr>
        <w:keepNext w:val="0"/>
        <w:spacing w:before="80" w:after="200"/>
      </w:pPr>
      <w:r>
        <w:rPr>
          <w:rFonts w:ascii="Cormorant Garamond" w:hAnsi="Cormorant Garamond"/>
          <w:b w:val="0"/>
          <w:i w:val="0"/>
          <w:color w:val="1A1814"/>
          <w:sz w:val="32"/>
        </w:rPr>
        <w:t>You argue that Bombardier is distinguishable because Alta, unlike the Bombardier plaintiffs, is not simultaneously trying to enforce the Master Agreement. But GE points out that Alta previously sued GE as a ‘party to the Master Agreement’ and sought to enforce its terms against GE. Doesn’t that undercut your distinction?</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Clement has shown a pattern of correcting attorneys who treat a strong inference as more than the record supports, and here the record contains Alta’s own prior pleading describing GE as effectively a party to the Master Agreement. This is the kind of record-based interjection Clement may make to reframe Alta’s Bombardier distinction.</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“Alta’s claims against GE were based on GE’s false and misleading representations regarding the nature of its relationship with WattStock, its intent to backstop WattStock’s work on refurbishing and delivering the TRUEPackages, and the pricing and availability of the TRUEPackage units.” (App. Br. p. 14)</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brief does not appear to directly address this question.</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The brief does not appear to directly address this question.</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Bombardier Aerospace Corp. v. SPEP Aircraft Holdings</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vicarious liability theory</w:t>
      </w:r>
      <w:r>
        <w:rPr>
          <w:rFonts w:ascii="JetBrains Mono" w:hAnsi="JetBrains Mono"/>
          <w:b w:val="0"/>
          <w:i w:val="0"/>
          <w:color w:val="9A9588"/>
          <w:sz w:val="18"/>
        </w:rPr>
        <w:t xml:space="preserve">  ·  </w:t>
      </w:r>
      <w:r>
        <w:rPr>
          <w:rFonts w:ascii="JetBrains Mono" w:hAnsi="JetBrains Mono"/>
          <w:b w:val="0"/>
          <w:i w:val="0"/>
          <w:color w:val="1A1814"/>
          <w:sz w:val="18"/>
        </w:rPr>
        <w:t>not direct enforcement</w:t>
      </w:r>
      <w:r>
        <w:rPr>
          <w:rFonts w:ascii="JetBrains Mono" w:hAnsi="JetBrains Mono"/>
          <w:b w:val="0"/>
          <w:i w:val="0"/>
          <w:color w:val="9A9588"/>
          <w:sz w:val="18"/>
        </w:rPr>
        <w:t xml:space="preserve">  ·  </w:t>
      </w:r>
      <w:r>
        <w:rPr>
          <w:rFonts w:ascii="JetBrains Mono" w:hAnsi="JetBrains Mono"/>
          <w:b w:val="0"/>
          <w:i w:val="0"/>
          <w:color w:val="1A1814"/>
          <w:sz w:val="18"/>
        </w:rPr>
        <w:t>different legal theories</w:t>
      </w:r>
      <w:r>
        <w:rPr>
          <w:rFonts w:ascii="JetBrains Mono" w:hAnsi="JetBrains Mono"/>
          <w:b w:val="0"/>
          <w:i w:val="0"/>
          <w:color w:val="9A9588"/>
          <w:sz w:val="18"/>
        </w:rPr>
        <w:t xml:space="preserve">  ·  </w:t>
      </w:r>
      <w:r>
        <w:rPr>
          <w:rFonts w:ascii="JetBrains Mono" w:hAnsi="JetBrains Mono"/>
          <w:b w:val="0"/>
          <w:i w:val="0"/>
          <w:color w:val="1A1814"/>
          <w:sz w:val="18"/>
        </w:rPr>
        <w:t>fraud claims versus contract claims</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maintains that Alta previously alleged GE was a party to the Master Agreement and sought to enforce it against GE.</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pressed, distinguish between seeking vicarious liability for WattStock’s breach versus seeking to enforce beneficial provisions while avoiding harmful ones.</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Alta’s prior litigation position estops it from its current argument, because Alta’s brief does not concede that it sought to enforce the agreement against GE in the same operative sense — its earlier theory was vicarious liability for WattStock’s breach, not direct enforcement of the waiver.</w:t>
            </w:r>
          </w:p>
        </w:tc>
      </w:tr>
    </w:tbl>
    <w:p>
      <w:pPr>
        <w:keepNext w:val="0"/>
        <w:spacing w:before="0" w:after="160"/>
      </w:pP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8A6F33"/>
              <w:bottom w:val="nil"/>
              <w:right w:val="nil"/>
            </w:tcBorders>
          </w:tcPr>
          <w:p>
            <w:pPr>
              <w:spacing w:after="40"/>
              <w:ind w:left="259"/>
            </w:pPr>
            <w:r>
              <w:rPr>
                <w:rFonts w:ascii="JetBrains Mono" w:hAnsi="JetBrains Mono"/>
                <w:b/>
                <w:color w:val="8A6F33"/>
                <w:sz w:val="16"/>
              </w:rPr>
              <w:t xml:space="preserve">• </w:t>
            </w:r>
            <w:r>
              <w:rPr>
                <w:rFonts w:ascii="JetBrains Mono" w:hAnsi="JetBrains Mono"/>
                <w:b w:val="0"/>
                <w:i w:val="0"/>
                <w:color w:val="6B6862"/>
                <w:sz w:val="16"/>
                <w:spacing w:val="36"/>
              </w:rPr>
              <w:t>CONSIDER</w:t>
            </w:r>
          </w:p>
          <w:p>
            <w:pPr>
              <w:spacing w:after="40"/>
              <w:ind w:left="259"/>
            </w:pPr>
            <w:r>
              <w:rPr>
                <w:rFonts w:ascii="EB Garamond" w:hAnsi="EB Garamond"/>
                <w:b w:val="0"/>
                <w:i w:val="0"/>
                <w:color w:val="1A1814"/>
                <w:sz w:val="22"/>
              </w:rPr>
              <w:t>The brief should address Alta’s prior litigation position more directly, explaining why earlier theories don’t constitute the type of selective enforcement Bombardier condemned.</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05  ·  </w:t>
      </w:r>
      <w:r>
        <w:rPr>
          <w:rFonts w:ascii="JetBrains Mono" w:hAnsi="JetBrains Mono"/>
          <w:b w:val="0"/>
          <w:i w:val="0"/>
          <w:color w:val="6B6862"/>
          <w:sz w:val="16"/>
          <w:spacing w:val="30"/>
        </w:rPr>
        <w:t>CLEMENT</w:t>
      </w:r>
    </w:p>
    <w:p>
      <w:pPr>
        <w:keepNext w:val="0"/>
        <w:spacing w:before="80" w:after="200"/>
      </w:pPr>
      <w:r>
        <w:rPr>
          <w:rFonts w:ascii="Cormorant Garamond" w:hAnsi="Cormorant Garamond"/>
          <w:b w:val="0"/>
          <w:i w:val="0"/>
          <w:color w:val="1A1814"/>
          <w:sz w:val="32"/>
        </w:rPr>
        <w:t>Section 9.1(B) lists specific causes of action — negligence, strict liability, breach of contract, breach of warranty — and you say that list excludes intentional torts under expressio unius. But the provision opens with ‘any claim for any consequential damages’ and ‘any cause of action including.’ Doesn’t the word ‘including’ signal that the list is illustrative, not exhaustive, which is fatal to your expressio unius argument?</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Clement has a pattern of sharpening the textual question when an attorney leans heavily on a canon of construction, and here the tension between ‘including’ as an expansion signal and Alta’s reliance on expressio unius is the precise pressure point GE identifies. Clement may press whether the cannon can operate when the text expressly introduces the list with a non-exclusive term.</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“Section 9.1(B) employs the phrase ‘shall include but is not limited to’ to tee up the (unlimited) categories of consequential damages that the provision waives.”</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“Then, when Section 9.1(B) enumerates the causes of action to which the waiver applies, it uses the more limited phrase ‘including,’ followed by a list of causes of action involving only breaches of contracts and warranties, and unintentional torts.” (App. Br. p. 43)</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The parties used two different phrases in the same provision—‘shall include but is not limited to’ for damages categories, but only ‘including’ for causes of action. This deliberate variation shows they intended the causes-of-action list to be more limited, covering only the unintentional torts listed.</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Great Lakes Insurance v. Gray Group Investments</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shall include but is not limited to</w:t>
      </w:r>
      <w:r>
        <w:rPr>
          <w:rFonts w:ascii="JetBrains Mono" w:hAnsi="JetBrains Mono"/>
          <w:b w:val="0"/>
          <w:i w:val="0"/>
          <w:color w:val="9A9588"/>
          <w:sz w:val="18"/>
        </w:rPr>
        <w:t xml:space="preserve">  ·  </w:t>
      </w:r>
      <w:r>
        <w:rPr>
          <w:rFonts w:ascii="JetBrains Mono" w:hAnsi="JetBrains Mono"/>
          <w:b w:val="0"/>
          <w:i w:val="0"/>
          <w:color w:val="1A1814"/>
          <w:sz w:val="18"/>
        </w:rPr>
        <w:t>more limited phrase</w:t>
      </w:r>
      <w:r>
        <w:rPr>
          <w:rFonts w:ascii="JetBrains Mono" w:hAnsi="JetBrains Mono"/>
          <w:b w:val="0"/>
          <w:i w:val="0"/>
          <w:color w:val="9A9588"/>
          <w:sz w:val="18"/>
        </w:rPr>
        <w:t xml:space="preserve">  ·  </w:t>
      </w:r>
      <w:r>
        <w:rPr>
          <w:rFonts w:ascii="JetBrains Mono" w:hAnsi="JetBrains Mono"/>
          <w:b w:val="0"/>
          <w:i w:val="0"/>
          <w:color w:val="1A1814"/>
          <w:sz w:val="18"/>
        </w:rPr>
        <w:t>different phrases</w:t>
      </w:r>
      <w:r>
        <w:rPr>
          <w:rFonts w:ascii="JetBrains Mono" w:hAnsi="JetBrains Mono"/>
          <w:b w:val="0"/>
          <w:i w:val="0"/>
          <w:color w:val="9A9588"/>
          <w:sz w:val="18"/>
        </w:rPr>
        <w:t xml:space="preserve">  ·  </w:t>
      </w:r>
      <w:r>
        <w:rPr>
          <w:rFonts w:ascii="JetBrains Mono" w:hAnsi="JetBrains Mono"/>
          <w:b w:val="0"/>
          <w:i w:val="0"/>
          <w:color w:val="1A1814"/>
          <w:sz w:val="18"/>
        </w:rPr>
        <w:t>deliberate choice</w:t>
      </w:r>
      <w:r>
        <w:rPr>
          <w:rFonts w:ascii="JetBrains Mono" w:hAnsi="JetBrains Mono"/>
          <w:b w:val="0"/>
          <w:i w:val="0"/>
          <w:color w:val="9A9588"/>
          <w:sz w:val="18"/>
        </w:rPr>
        <w:t xml:space="preserve">  ·  </w:t>
      </w:r>
      <w:r>
        <w:rPr>
          <w:rFonts w:ascii="JetBrains Mono" w:hAnsi="JetBrains Mono"/>
          <w:b w:val="0"/>
          <w:i w:val="0"/>
          <w:color w:val="1A1814"/>
          <w:sz w:val="18"/>
        </w:rPr>
        <w:t>unintentional torts only</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that ‘including’ has an expansive meaning and that the list is merely illustrative, citing multiple cases holding that ‘including’ introduces non-exhaustive lists.</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pressed on the textual variation, emphasize Texas public policy against waiving liability for intentional torts, which requires explicit language.</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‘including’ forecloses expressio unius, because Alta’s brief argues that the parties used ‘shall include but is not limited to’ elsewhere in the same provision to signal true non-exclusivity, and the deliberate choice of the shorter ‘including’ to introduce the causes-of-action list signals a different, more limited intent.</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06  ·  </w:t>
      </w:r>
      <w:r>
        <w:rPr>
          <w:rFonts w:ascii="JetBrains Mono" w:hAnsi="JetBrains Mono"/>
          <w:b w:val="0"/>
          <w:i w:val="0"/>
          <w:color w:val="6B6862"/>
          <w:sz w:val="16"/>
          <w:spacing w:val="30"/>
        </w:rPr>
        <w:t>CLEMENT</w:t>
      </w:r>
    </w:p>
    <w:p>
      <w:pPr>
        <w:keepNext w:val="0"/>
        <w:spacing w:before="80" w:after="200"/>
      </w:pPr>
      <w:r>
        <w:rPr>
          <w:rFonts w:ascii="Cormorant Garamond" w:hAnsi="Cormorant Garamond"/>
          <w:b w:val="0"/>
          <w:i w:val="0"/>
          <w:color w:val="1A1814"/>
          <w:sz w:val="32"/>
        </w:rPr>
        <w:t>The GE-WattStock MOU was signed in June 2017 — nearly two years before the Master Agreement. The MOU expressly contemplated that GE could serve as WattStock’s subcontractor. So wasn’t GE’s subcontractor status, at least as a potential status, established before the Master Agreement was even executed? How does your temporal argument survive that?</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Clement has a documented pattern of pressing whether the anchor on which an attorney’s position rests is sufficient to bear the weight placed on it, and GE’s brief relies heavily on the MOU to argue that the temporal premise of Alta’s argument is factually refuted. This is a record-based challenge Clement may deploy to test whether Alta’s timeline argument is as clean as the brief suggests.</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“GE did not have any subcontractor relationship with WattStock related to TRUEPackage until July 2019 at the earliest, ROA.20526—five months after the Master Agreement” (App. Br. p. 15)</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fraud occurred long before GE became a subcontractor in July 2019, see ROA.20526, when GE lied to Alta throughout 2018 and early 2019 about GE’s relationship with WattStock preceding the February 2019 Master Agreement. (App. Br. pp. 29-30)</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The MOU only contemplated that GE could potentially serve as a subcontractor—it didn’t create that relationship. The record shows GE didn’t actually become WattStock’s subcontractor until July 2019, five months after the Master Agreement and long after the fraudulent representations.</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Texaco Exploration v. AmClyde Engineered Products</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merely contemplated</w:t>
      </w:r>
      <w:r>
        <w:rPr>
          <w:rFonts w:ascii="JetBrains Mono" w:hAnsi="JetBrains Mono"/>
          <w:b w:val="0"/>
          <w:i w:val="0"/>
          <w:color w:val="9A9588"/>
          <w:sz w:val="18"/>
        </w:rPr>
        <w:t xml:space="preserve">  ·  </w:t>
      </w:r>
      <w:r>
        <w:rPr>
          <w:rFonts w:ascii="JetBrains Mono" w:hAnsi="JetBrains Mono"/>
          <w:b w:val="0"/>
          <w:i w:val="0"/>
          <w:color w:val="1A1814"/>
          <w:sz w:val="18"/>
        </w:rPr>
        <w:t>potential versus actual</w:t>
      </w:r>
      <w:r>
        <w:rPr>
          <w:rFonts w:ascii="JetBrains Mono" w:hAnsi="JetBrains Mono"/>
          <w:b w:val="0"/>
          <w:i w:val="0"/>
          <w:color w:val="9A9588"/>
          <w:sz w:val="18"/>
        </w:rPr>
        <w:t xml:space="preserve">  ·  </w:t>
      </w:r>
      <w:r>
        <w:rPr>
          <w:rFonts w:ascii="JetBrains Mono" w:hAnsi="JetBrains Mono"/>
          <w:b w:val="0"/>
          <w:i w:val="0"/>
          <w:color w:val="1A1814"/>
          <w:sz w:val="18"/>
        </w:rPr>
        <w:t>July 2019 at the earliest</w:t>
      </w:r>
      <w:r>
        <w:rPr>
          <w:rFonts w:ascii="JetBrains Mono" w:hAnsi="JetBrains Mono"/>
          <w:b w:val="0"/>
          <w:i w:val="0"/>
          <w:color w:val="9A9588"/>
          <w:sz w:val="18"/>
        </w:rPr>
        <w:t xml:space="preserve">  ·  </w:t>
      </w:r>
      <w:r>
        <w:rPr>
          <w:rFonts w:ascii="JetBrains Mono" w:hAnsi="JetBrains Mono"/>
          <w:b w:val="0"/>
          <w:i w:val="0"/>
          <w:color w:val="1A1814"/>
          <w:sz w:val="18"/>
        </w:rPr>
        <w:t>no actual subcontractor relationship</w:t>
      </w:r>
      <w:r>
        <w:rPr>
          <w:rFonts w:ascii="JetBrains Mono" w:hAnsi="JetBrains Mono"/>
          <w:b w:val="0"/>
          <w:i w:val="0"/>
          <w:color w:val="9A9588"/>
          <w:sz w:val="18"/>
        </w:rPr>
        <w:t xml:space="preserve">  ·  </w:t>
      </w:r>
      <w:r>
        <w:rPr>
          <w:rFonts w:ascii="JetBrains Mono" w:hAnsi="JetBrains Mono"/>
          <w:b w:val="0"/>
          <w:i w:val="0"/>
          <w:color w:val="1A1814"/>
          <w:sz w:val="18"/>
        </w:rPr>
        <w:t>future possibility</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contends the MOU from 2017 established that GE’s relationship with WattStock long predated the Master Agreement and rebuts any temporal limitation.</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pressed on the MOU’s significance, emphasize that contemplating a future role is fundamentally different from actually occupying that role when making fraudulent statements.</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the MOU established GE as a subcontractor before the Master Agreement, because Alta’s brief argues that the MOU merely contemplated a future possibility of a subcontractor relationship and that GE did not actually become WattStock’s subcontractor until at least July 2019 — five months after the Master Agreement — when a written subcontract was executed.</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07  ·  </w:t>
      </w:r>
      <w:r>
        <w:rPr>
          <w:rFonts w:ascii="JetBrains Mono" w:hAnsi="JetBrains Mono"/>
          <w:b w:val="0"/>
          <w:i w:val="0"/>
          <w:color w:val="6B6862"/>
          <w:sz w:val="16"/>
          <w:spacing w:val="30"/>
        </w:rPr>
        <w:t>CLEMENT</w:t>
      </w:r>
    </w:p>
    <w:p>
      <w:pPr>
        <w:keepNext w:val="0"/>
        <w:spacing w:before="80" w:after="200"/>
      </w:pPr>
      <w:r>
        <w:rPr>
          <w:rFonts w:ascii="Cormorant Garamond" w:hAnsi="Cormorant Garamond"/>
          <w:b w:val="0"/>
          <w:i w:val="0"/>
          <w:color w:val="1A1814"/>
          <w:sz w:val="32"/>
        </w:rPr>
        <w:t>You draw an analogy to Finley Resources to support a contextual reading of ‘subcontractors.’ But GE says Finley addressed an ambiguous term — ‘predecessor’ — while ‘subcontractor’ here is unambiguous. If the term isn’t ambiguous, can you use context to narrow its plain meaning in the way you’re proposing?</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Clement has shown a pattern of pinpointing where an argument overstates what a cited case actually holds and substituting a more precise formulation. Alta’s Finley analogy is the principal structural support for its capacity-limitation argument, and Clement may press whether the analogy holds if ‘subcontractor’ is treated as unambiguous — which is GE’s framing.</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“Similar to Finley, this Court must construe the classes of named individuals in context. And here, ‘contractors and subcontractors’ bear a connection to the work performed under the Agreement.” (App. Br. p. 31)</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“Because the term ‘predecessor’ connoted ‘a prior connection to the corporate entities themselves, not the land,’ the court concluded that the term referred to corporate predecessors, not predecessors-in-interest like Finley.”</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Even unambiguous terms must be read in their grammatical context. Here, ‘subcontractors’ appears in a list of relational categories—officers, directors, employees—all defined by their connection to the contracting parties, which necessarily limits the waiver to conduct in those capacities.</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Finley Resources v. Headington Royalty</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grammatical and structural context</w:t>
      </w:r>
      <w:r>
        <w:rPr>
          <w:rFonts w:ascii="JetBrains Mono" w:hAnsi="JetBrains Mono"/>
          <w:b w:val="0"/>
          <w:i w:val="0"/>
          <w:color w:val="9A9588"/>
          <w:sz w:val="18"/>
        </w:rPr>
        <w:t xml:space="preserve">  ·  </w:t>
      </w:r>
      <w:r>
        <w:rPr>
          <w:rFonts w:ascii="JetBrains Mono" w:hAnsi="JetBrains Mono"/>
          <w:b w:val="0"/>
          <w:i w:val="0"/>
          <w:color w:val="1A1814"/>
          <w:sz w:val="18"/>
        </w:rPr>
        <w:t>classes of named individuals</w:t>
      </w:r>
      <w:r>
        <w:rPr>
          <w:rFonts w:ascii="JetBrains Mono" w:hAnsi="JetBrains Mono"/>
          <w:b w:val="0"/>
          <w:i w:val="0"/>
          <w:color w:val="9A9588"/>
          <w:sz w:val="18"/>
        </w:rPr>
        <w:t xml:space="preserve">  ·  </w:t>
      </w:r>
      <w:r>
        <w:rPr>
          <w:rFonts w:ascii="JetBrains Mono" w:hAnsi="JetBrains Mono"/>
          <w:b w:val="0"/>
          <w:i w:val="0"/>
          <w:color w:val="1A1814"/>
          <w:sz w:val="18"/>
        </w:rPr>
        <w:t>connection to the work performed</w:t>
      </w:r>
      <w:r>
        <w:rPr>
          <w:rFonts w:ascii="JetBrains Mono" w:hAnsi="JetBrains Mono"/>
          <w:b w:val="0"/>
          <w:i w:val="0"/>
          <w:color w:val="9A9588"/>
          <w:sz w:val="18"/>
        </w:rPr>
        <w:t xml:space="preserve">  ·  </w:t>
      </w:r>
      <w:r>
        <w:rPr>
          <w:rFonts w:ascii="JetBrains Mono" w:hAnsi="JetBrains Mono"/>
          <w:b w:val="0"/>
          <w:i w:val="0"/>
          <w:color w:val="1A1814"/>
          <w:sz w:val="18"/>
        </w:rPr>
        <w:t>relational capacity</w:t>
      </w:r>
      <w:r>
        <w:rPr>
          <w:rFonts w:ascii="JetBrains Mono" w:hAnsi="JetBrains Mono"/>
          <w:b w:val="0"/>
          <w:i w:val="0"/>
          <w:color w:val="9A9588"/>
          <w:sz w:val="18"/>
        </w:rPr>
        <w:t xml:space="preserve">  ·  </w:t>
      </w:r>
      <w:r>
        <w:rPr>
          <w:rFonts w:ascii="JetBrains Mono" w:hAnsi="JetBrains Mono"/>
          <w:b w:val="0"/>
          <w:i w:val="0"/>
          <w:color w:val="1A1814"/>
          <w:sz w:val="18"/>
        </w:rPr>
        <w:t>context matters for unambiguous terms</w:t>
      </w:r>
    </w:p>
    <w:p>
      <w:pPr>
        <w:keepNext w:val="0"/>
        <w:spacing w:before="0" w:after="80"/>
      </w:pPr>
      <w:r>
        <w:rPr>
          <w:rFonts w:ascii="JetBrains Mono" w:hAnsi="JetBrains Mono"/>
          <w:b/>
          <w:color w:val="C8392B"/>
          <w:sz w:val="16"/>
        </w:rPr>
        <w:t xml:space="preserve">• </w:t>
      </w:r>
      <w:r>
        <w:rPr>
          <w:rFonts w:ascii="JetBrains Mono" w:hAnsi="JetBrains Mono"/>
          <w:b w:val="0"/>
          <w:i w:val="0"/>
          <w:color w:val="6B6862"/>
          <w:sz w:val="16"/>
          <w:spacing w:val="36"/>
        </w:rPr>
        <w:t>OPPONENT'S POSITION</w:t>
      </w:r>
    </w:p>
    <w:p>
      <w:pPr>
        <w:keepNext w:val="0"/>
        <w:spacing w:before="0" w:after="120"/>
      </w:pPr>
      <w:r>
        <w:rPr>
          <w:rFonts w:ascii="EB Garamond" w:hAnsi="EB Garamond"/>
          <w:b w:val="0"/>
          <w:i w:val="0"/>
          <w:color w:val="1A1814"/>
          <w:sz w:val="22"/>
        </w:rPr>
        <w:t>Appellee argues there’s no ambiguity here and that Alta itself moved for summary judgment under the consequential-damages waiver, confirming the text is clear.</w:t>
      </w: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IF THIS GOES SOUTH</w:t>
      </w:r>
    </w:p>
    <w:p>
      <w:pPr>
        <w:keepNext w:val="0"/>
        <w:spacing w:before="0" w:after="120"/>
      </w:pPr>
      <w:r>
        <w:rPr>
          <w:rFonts w:ascii="EB Garamond" w:hAnsi="EB Garamond"/>
          <w:b w:val="0"/>
          <w:i w:val="0"/>
          <w:color w:val="1A1814"/>
          <w:sz w:val="22"/>
        </w:rPr>
        <w:t>If pressed on ambiguity, emphasize that context always matters in contract interpretation, even for seemingly clear terms, to give effect to the parties‘ intent.</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C8392B"/>
              <w:bottom w:val="nil"/>
              <w:right w:val="nil"/>
            </w:tcBorders>
          </w:tcPr>
          <w:p>
            <w:pPr>
              <w:spacing w:after="40"/>
              <w:ind w:left="259"/>
            </w:pPr>
            <w:r>
              <w:rPr>
                <w:rFonts w:ascii="JetBrains Mono" w:hAnsi="JetBrains Mono"/>
                <w:b/>
                <w:color w:val="C8392B"/>
                <w:sz w:val="16"/>
              </w:rPr>
              <w:t xml:space="preserve">• </w:t>
            </w:r>
            <w:r>
              <w:rPr>
                <w:rFonts w:ascii="JetBrains Mono" w:hAnsi="JetBrains Mono"/>
                <w:b w:val="0"/>
                <w:i w:val="0"/>
                <w:color w:val="6B6862"/>
                <w:sz w:val="16"/>
                <w:spacing w:val="36"/>
              </w:rPr>
              <w:t>FLAG</w:t>
            </w:r>
          </w:p>
          <w:p>
            <w:pPr>
              <w:spacing w:after="40"/>
              <w:ind w:left="259"/>
            </w:pPr>
            <w:r>
              <w:rPr>
                <w:rFonts w:ascii="EB Garamond" w:hAnsi="EB Garamond"/>
                <w:b w:val="0"/>
                <w:i w:val="0"/>
                <w:color w:val="1A1814"/>
                <w:sz w:val="22"/>
              </w:rPr>
              <w:t>Consider rejecting the premise that ‘subcontractor’ is unambiguous on the capacity/temporal question, because Alta’s brief argues that even an unambiguous term must be read in its grammatical and structural context — here, a list of persons defined by their relationship to the contracting parties — which necessarily implies conduct taken in that relational capacity.</w:t>
            </w:r>
          </w:p>
        </w:tc>
      </w:tr>
    </w:tbl>
    <w:p>
      <w:pPr>
        <w:keepNext w:val="0"/>
        <w:spacing w:before="0" w:after="160"/>
      </w:pPr>
    </w:p>
    <w:p>
      <w:r>
        <w:br w:type="page"/>
      </w:r>
    </w:p>
    <w:p>
      <w:pPr>
        <w:keepNext w:val="0"/>
        <w:spacing w:before="0" w:after="40"/>
      </w:pPr>
      <w:r>
        <w:rPr>
          <w:rFonts w:ascii="JetBrains Mono" w:hAnsi="JetBrains Mono"/>
          <w:b w:val="0"/>
          <w:i w:val="0"/>
          <w:color w:val="B8913D"/>
          <w:sz w:val="16"/>
        </w:rPr>
        <w:t xml:space="preserve">Q 08  ·  </w:t>
      </w:r>
      <w:r>
        <w:rPr>
          <w:rFonts w:ascii="JetBrains Mono" w:hAnsi="JetBrains Mono"/>
          <w:b w:val="0"/>
          <w:i w:val="0"/>
          <w:color w:val="6B6862"/>
          <w:sz w:val="16"/>
          <w:spacing w:val="30"/>
        </w:rPr>
        <w:t>CLEMENT</w:t>
      </w:r>
    </w:p>
    <w:p>
      <w:pPr>
        <w:keepNext w:val="0"/>
        <w:spacing w:before="80" w:after="200"/>
      </w:pPr>
      <w:r>
        <w:rPr>
          <w:rFonts w:ascii="Cormorant Garamond" w:hAnsi="Cormorant Garamond"/>
          <w:b w:val="0"/>
          <w:i w:val="0"/>
          <w:color w:val="1A1814"/>
          <w:sz w:val="32"/>
        </w:rPr>
        <w:t>Assuming we agree with you that GE cannot invoke the waiver for pre-subcontractor conduct, what happens to Alta’s claims for conduct that occurred after GE became WattStock’s subcontractor in mid-2019 — for example, GE’s alleged campaign to drive up turbine prices after the Master Agreement was signed? Are those claims also alive, or does the waiver bar them?</w:t>
      </w:r>
    </w:p>
    <w:p>
      <w:pPr>
        <w:keepNext w:val="0"/>
        <w:spacing w:before="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WHY THIS JUDGE MIGHT ASK</w:t>
      </w:r>
    </w:p>
    <w:p>
      <w:pPr>
        <w:keepNext w:val="0"/>
        <w:spacing w:before="0" w:after="200"/>
      </w:pPr>
      <w:r>
        <w:rPr>
          <w:rFonts w:ascii="EB Garamond" w:hAnsi="EB Garamond"/>
          <w:b w:val="0"/>
          <w:i/>
          <w:color w:val="4A4843"/>
          <w:sz w:val="22"/>
        </w:rPr>
        <w:t>Clement engages selectively and tends to probe the practical scope and limiting principle of an argument rather than just its strongest application. This question tests whether Alta’s capacity/temporal theory has a coherent limiting principle that doesn’t simply swallow all of Alta’s claims — or alternatively, whether it actually preserves more claims than Alta’s brief acknowledges.</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FROM YOUR BRIEF</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“GE worked behind the scenes to warn potential sellers that those costly termination fees would still be due for selling its turbines to WattStock and Alta.” (App. Br. p. 13)</w:t>
      </w:r>
      <w:r>
        <w:rPr>
          <w:rFonts w:ascii="Cormorant Garamond" w:hAnsi="Cormorant Garamond"/>
          <w:b w:val="0"/>
          <w:i w:val="0"/>
          <w:color w:val="8A6F33"/>
          <w:sz w:val="22"/>
        </w:rPr>
        <w:t>”</w:t>
      </w:r>
    </w:p>
    <w:p>
      <w:pPr>
        <w:keepNext w:val="0"/>
        <w:spacing w:before="0" w:after="60"/>
        <w:ind w:left="216"/>
      </w:pPr>
      <w:r>
        <w:rPr>
          <w:rFonts w:ascii="Cormorant Garamond" w:hAnsi="Cormorant Garamond"/>
          <w:b w:val="0"/>
          <w:i w:val="0"/>
          <w:color w:val="8A6F33"/>
          <w:sz w:val="22"/>
        </w:rPr>
        <w:t>“</w:t>
      </w:r>
      <w:r>
        <w:rPr>
          <w:rFonts w:ascii="EB Garamond" w:hAnsi="EB Garamond"/>
          <w:b w:val="0"/>
          <w:i/>
          <w:color w:val="1A1814"/>
          <w:sz w:val="22"/>
        </w:rPr>
        <w:t>The brief does not appear to directly address this question.</w:t>
      </w:r>
      <w:r>
        <w:rPr>
          <w:rFonts w:ascii="Cormorant Garamond" w:hAnsi="Cormorant Garamond"/>
          <w:b w:val="0"/>
          <w:i w:val="0"/>
          <w:color w:val="8A6F33"/>
          <w:sz w:val="22"/>
        </w:rPr>
        <w:t>”</w:t>
      </w:r>
    </w:p>
    <w:p>
      <w:pPr>
        <w:keepNext w:val="0"/>
        <w:spacing w:before="120" w:after="80"/>
        <w:pBdr>
          <w:bottom w:val="single" w:sz="6" w:space="1" w:color="CFC8B8"/>
        </w:pBdr>
      </w:pPr>
    </w:p>
    <w:p>
      <w:pPr>
        <w:keepNext w:val="0"/>
        <w:spacing w:before="0" w:after="80"/>
      </w:pPr>
      <w:r>
        <w:rPr>
          <w:rFonts w:ascii="JetBrains Mono" w:hAnsi="JetBrains Mono"/>
          <w:b/>
          <w:color w:val="B8913D"/>
          <w:sz w:val="16"/>
        </w:rPr>
        <w:t xml:space="preserve">• </w:t>
      </w:r>
      <w:r>
        <w:rPr>
          <w:rFonts w:ascii="JetBrains Mono" w:hAnsi="JetBrains Mono"/>
          <w:b w:val="0"/>
          <w:i w:val="0"/>
          <w:color w:val="6B6862"/>
          <w:sz w:val="16"/>
          <w:spacing w:val="36"/>
        </w:rPr>
        <w:t>SUGGESTED RESPONSE</w:t>
      </w:r>
    </w:p>
    <w:p>
      <w:pPr>
        <w:keepNext w:val="0"/>
        <w:spacing w:before="0" w:after="120"/>
      </w:pPr>
      <w:r>
        <w:rPr>
          <w:rFonts w:ascii="EB Garamond" w:hAnsi="EB Garamond"/>
          <w:b w:val="0"/>
          <w:i w:val="0"/>
          <w:color w:val="1A1814"/>
          <w:sz w:val="22"/>
        </w:rPr>
        <w:t>The brief does not appear to directly address this question.</w:t>
      </w:r>
    </w:p>
    <w:p>
      <w:pPr>
        <w:keepNext w:val="0"/>
        <w:spacing w:before="120" w:after="80"/>
        <w:pBdr>
          <w:bottom w:val="single" w:sz="6" w:space="1" w:color="CFC8B8"/>
        </w:pBdr>
      </w:pPr>
    </w:p>
    <w:p>
      <w:pPr>
        <w:keepNext w:val="0"/>
        <w:spacing w:before="0" w:after="60"/>
      </w:pPr>
      <w:r>
        <w:rPr>
          <w:rFonts w:ascii="JetBrains Mono" w:hAnsi="JetBrains Mono"/>
          <w:b w:val="0"/>
          <w:i w:val="0"/>
          <w:color w:val="6B6862"/>
          <w:sz w:val="16"/>
          <w:spacing w:val="30"/>
        </w:rPr>
        <w:t xml:space="preserve">Primary authority  </w:t>
      </w:r>
      <w:r>
        <w:rPr>
          <w:rFonts w:ascii="EB Garamond" w:hAnsi="EB Garamond"/>
          <w:b w:val="0"/>
          <w:i/>
          <w:color w:val="1A1814"/>
          <w:sz w:val="22"/>
        </w:rPr>
        <w:t>Section 9.1(B) of Master Agreement</w:t>
      </w:r>
    </w:p>
    <w:p>
      <w:pPr>
        <w:keepNext w:val="0"/>
        <w:spacing w:before="0" w:after="60"/>
      </w:pPr>
      <w:r>
        <w:rPr>
          <w:rFonts w:ascii="JetBrains Mono" w:hAnsi="JetBrains Mono"/>
          <w:b w:val="0"/>
          <w:i w:val="0"/>
          <w:color w:val="6B6862"/>
          <w:sz w:val="16"/>
          <w:spacing w:val="30"/>
        </w:rPr>
        <w:t xml:space="preserve">Key phrases  </w:t>
      </w:r>
      <w:r>
        <w:rPr>
          <w:rFonts w:ascii="JetBrains Mono" w:hAnsi="JetBrains Mono"/>
          <w:b w:val="0"/>
          <w:i w:val="0"/>
          <w:color w:val="1A1814"/>
          <w:sz w:val="18"/>
        </w:rPr>
        <w:t>post-subcontractor conduct</w:t>
      </w:r>
      <w:r>
        <w:rPr>
          <w:rFonts w:ascii="JetBrains Mono" w:hAnsi="JetBrains Mono"/>
          <w:b w:val="0"/>
          <w:i w:val="0"/>
          <w:color w:val="9A9588"/>
          <w:sz w:val="18"/>
        </w:rPr>
        <w:t xml:space="preserve">  ·  </w:t>
      </w:r>
      <w:r>
        <w:rPr>
          <w:rFonts w:ascii="JetBrains Mono" w:hAnsi="JetBrains Mono"/>
          <w:b w:val="0"/>
          <w:i w:val="0"/>
          <w:color w:val="1A1814"/>
          <w:sz w:val="18"/>
        </w:rPr>
        <w:t>limiting principle</w:t>
      </w:r>
      <w:r>
        <w:rPr>
          <w:rFonts w:ascii="JetBrains Mono" w:hAnsi="JetBrains Mono"/>
          <w:b w:val="0"/>
          <w:i w:val="0"/>
          <w:color w:val="9A9588"/>
          <w:sz w:val="18"/>
        </w:rPr>
        <w:t xml:space="preserve">  ·  </w:t>
      </w:r>
      <w:r>
        <w:rPr>
          <w:rFonts w:ascii="JetBrains Mono" w:hAnsi="JetBrains Mono"/>
          <w:b w:val="0"/>
          <w:i w:val="0"/>
          <w:color w:val="1A1814"/>
          <w:sz w:val="18"/>
        </w:rPr>
        <w:t>scope of waiver</w:t>
      </w:r>
      <w:r>
        <w:rPr>
          <w:rFonts w:ascii="JetBrains Mono" w:hAnsi="JetBrains Mono"/>
          <w:b w:val="0"/>
          <w:i w:val="0"/>
          <w:color w:val="9A9588"/>
          <w:sz w:val="18"/>
        </w:rPr>
        <w:t xml:space="preserve">  ·  </w:t>
      </w:r>
      <w:r>
        <w:rPr>
          <w:rFonts w:ascii="JetBrains Mono" w:hAnsi="JetBrains Mono"/>
          <w:b w:val="0"/>
          <w:i w:val="0"/>
          <w:color w:val="1A1814"/>
          <w:sz w:val="18"/>
        </w:rPr>
        <w:t>conduct as subcontractor</w:t>
      </w:r>
    </w:p>
    <w:tbl>
      <w:tblPr>
        <w:tblW w:type="auto" w:w="0"/>
        <w:jc w:val="left"/>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tcBorders>
              <w:top w:val="nil"/>
              <w:left w:val="single" w:sz="16" w:space="0" w:color="8A6F33"/>
              <w:bottom w:val="nil"/>
              <w:right w:val="nil"/>
            </w:tcBorders>
          </w:tcPr>
          <w:p>
            <w:pPr>
              <w:spacing w:after="40"/>
              <w:ind w:left="259"/>
            </w:pPr>
            <w:r>
              <w:rPr>
                <w:rFonts w:ascii="JetBrains Mono" w:hAnsi="JetBrains Mono"/>
                <w:b/>
                <w:color w:val="8A6F33"/>
                <w:sz w:val="16"/>
              </w:rPr>
              <w:t xml:space="preserve">• </w:t>
            </w:r>
            <w:r>
              <w:rPr>
                <w:rFonts w:ascii="JetBrains Mono" w:hAnsi="JetBrains Mono"/>
                <w:b w:val="0"/>
                <w:i w:val="0"/>
                <w:color w:val="6B6862"/>
                <w:sz w:val="16"/>
                <w:spacing w:val="36"/>
              </w:rPr>
              <w:t>CONSIDER</w:t>
            </w:r>
          </w:p>
          <w:p>
            <w:pPr>
              <w:spacing w:after="40"/>
              <w:ind w:left="259"/>
            </w:pPr>
            <w:r>
              <w:rPr>
                <w:rFonts w:ascii="EB Garamond" w:hAnsi="EB Garamond"/>
                <w:b w:val="0"/>
                <w:i w:val="0"/>
                <w:color w:val="1A1814"/>
                <w:sz w:val="22"/>
              </w:rPr>
              <w:t>The brief should clarify whether Alta seeks damages for any post-July 2019 conduct and how the capacity limitation would apply to GE’s actions after becoming a subcontractor.</w:t>
            </w:r>
          </w:p>
        </w:tc>
      </w:tr>
    </w:tbl>
    <w:p>
      <w:pPr>
        <w:keepNext w:val="0"/>
        <w:spacing w:before="0" w:after="160"/>
      </w:pPr>
    </w:p>
    <w:p>
      <w:pPr>
        <w:keepNext w:val="0"/>
        <w:spacing w:before="400" w:after="160"/>
        <w:pBdr>
          <w:bottom w:val="single" w:sz="6" w:space="1" w:color="CFC8B8"/>
        </w:pBdr>
      </w:pPr>
    </w:p>
    <w:p>
      <w:pPr>
        <w:keepNext w:val="0"/>
        <w:spacing w:before="0" w:after="0"/>
        <w:jc w:val="center"/>
      </w:pPr>
      <w:r>
        <w:rPr>
          <w:rFonts w:ascii="JetBrains Mono" w:hAnsi="JetBrains Mono"/>
          <w:b w:val="0"/>
          <w:i/>
          <w:color w:val="9A9588"/>
          <w:sz w:val="16"/>
        </w:rPr>
        <w:t>Prepared by Bartolus  ·  Data drawn from Fifth Circuit oral argument transcripts.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JetBrains Mono" w:hAnsi="JetBrains Mono"/>
        <w:color w:val="6B6862"/>
        <w:sz w:val="14"/>
      </w:rPr>
      <w:t xml:space="preserve">CONFIDENTIAL  ·  ATTORNEY WORK PRODUCT  ·  </w:t>
    </w:r>
    <w:r>
      <w:rPr>
        <w:rFonts w:ascii="JetBrains Mono" w:hAnsi="JetBrains Mono"/>
        <w:color w:val="1A1814"/>
        <w:sz w:val="14"/>
      </w:rP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4" w:space="4" w:color="CFC8B8"/>
      </w:pBdr>
    </w:pPr>
    <w:r>
      <w:rPr>
        <w:rFonts w:ascii="Cormorant Garamond" w:hAnsi="Cormorant Garamond"/>
        <w:b w:val="0"/>
        <w:color w:val="1A1814"/>
        <w:sz w:val="18"/>
      </w:rPr>
      <w:t>BARTOLUS</w:t>
    </w:r>
    <w:r>
      <w:rPr>
        <w:rFonts w:ascii="JetBrains Mono" w:hAnsi="JetBrains Mono"/>
        <w:sz w:val="16"/>
      </w:rPr>
      <w:t xml:space="preserve">   </w:t>
    </w:r>
    <w:r>
      <w:rPr>
        <w:rFonts w:ascii="JetBrains Mono" w:hAnsi="JetBrains Mono"/>
        <w:color w:val="6B6862"/>
        <w:sz w:val="16"/>
      </w:rPr>
      <w:t>ORAL ARGUMENT PREP</w:t>
    </w:r>
    <w:r>
      <w:rPr>
        <w:rFonts w:ascii="JetBrains Mono" w:hAnsi="JetBrains Mono"/>
        <w:color w:val="9A9588"/>
        <w:sz w:val="16"/>
      </w:rPr>
      <w:t xml:space="preserve">   ·   </w:t>
    </w:r>
    <w:r>
      <w:rPr>
        <w:rFonts w:ascii="JetBrains Mono" w:hAnsi="JetBrains Mono"/>
        <w:color w:val="6B6862"/>
        <w:sz w:val="16"/>
      </w:rPr>
      <w:t>Alta Power v. General Electric International  ·  No. 25-10774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color w:val="1A181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ormorant Garamond" w:hAnsi="Cormorant Garamond"/>
      <w:b w:val="0"/>
      <w:bCs/>
      <w:color w:val="1A1814"/>
      <w:sz w:val="44"/>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ormorant Garamond" w:hAnsi="Cormorant Garamond"/>
      <w:b w:val="0"/>
      <w:bCs/>
      <w:color w:val="1A1814"/>
      <w:sz w:val="32"/>
      <w:szCs w:val="26"/>
    </w:rPr>
  </w:style>
  <w:style w:type="paragraph" w:styleId="Heading3">
    <w:name w:val="heading 3"/>
    <w:basedOn w:val="Normal"/>
    <w:next w:val="Normal"/>
    <w:link w:val="Heading3Char"/>
    <w:uiPriority w:val="9"/>
    <w:unhideWhenUsed/>
    <w:qFormat/>
    <w:rsid w:val="00FC693F"/>
    <w:pPr>
      <w:keepNext/>
      <w:keepLines/>
      <w:spacing w:before="280" w:after="120"/>
      <w:outlineLvl w:val="2"/>
    </w:pPr>
    <w:rPr>
      <w:rFonts w:asciiTheme="majorHAnsi" w:eastAsiaTheme="majorEastAsia" w:hAnsiTheme="majorHAnsi" w:cstheme="majorBidi" w:ascii="Cormorant Garamond" w:hAnsi="Cormorant Garamond"/>
      <w:b w:val="0"/>
      <w:bCs/>
      <w:color w:val="1A1814"/>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